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493C" w14:textId="77777777" w:rsidR="001840CE" w:rsidRDefault="001840CE" w:rsidP="001840CE">
      <w:pPr>
        <w:pStyle w:val="BodyTextIndent"/>
        <w:ind w:firstLine="0"/>
        <w:jc w:val="right"/>
        <w:rPr>
          <w:sz w:val="40"/>
          <w:szCs w:val="40"/>
          <w:lang w:val="en"/>
        </w:rPr>
      </w:pPr>
    </w:p>
    <w:p w14:paraId="5B36D58C" w14:textId="6759AA5B" w:rsidR="00C631DE" w:rsidRPr="001840CE" w:rsidRDefault="009420DA" w:rsidP="001840CE">
      <w:pPr>
        <w:pStyle w:val="BodyTextIndent"/>
        <w:ind w:firstLine="0"/>
        <w:jc w:val="right"/>
        <w:rPr>
          <w:sz w:val="40"/>
          <w:szCs w:val="40"/>
          <w:lang w:val="en"/>
        </w:rPr>
      </w:pPr>
      <w:r>
        <w:rPr>
          <w:noProof/>
          <w:sz w:val="40"/>
          <w:szCs w:val="40"/>
          <w:lang w:val="en"/>
        </w:rPr>
        <w:drawing>
          <wp:inline distT="0" distB="0" distL="0" distR="0" wp14:anchorId="6686D317" wp14:editId="599515A2">
            <wp:extent cx="2143125" cy="814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078" cy="860402"/>
                    </a:xfrm>
                    <a:prstGeom prst="rect">
                      <a:avLst/>
                    </a:prstGeom>
                    <a:noFill/>
                  </pic:spPr>
                </pic:pic>
              </a:graphicData>
            </a:graphic>
          </wp:inline>
        </w:drawing>
      </w:r>
    </w:p>
    <w:p w14:paraId="0D423DD5" w14:textId="77777777" w:rsidR="001840CE" w:rsidRDefault="00C631DE" w:rsidP="00696D28">
      <w:pPr>
        <w:pStyle w:val="Default"/>
        <w:jc w:val="center"/>
        <w:rPr>
          <w:rFonts w:asciiTheme="minorHAnsi" w:hAnsiTheme="minorHAnsi" w:cstheme="minorHAnsi"/>
          <w:b/>
          <w:bCs/>
          <w:sz w:val="40"/>
          <w:szCs w:val="40"/>
        </w:rPr>
      </w:pPr>
      <w:r w:rsidRPr="00C631DE">
        <w:rPr>
          <w:rFonts w:asciiTheme="minorHAnsi" w:hAnsiTheme="minorHAnsi" w:cstheme="minorHAnsi"/>
          <w:b/>
          <w:bCs/>
          <w:color w:val="auto"/>
          <w:sz w:val="40"/>
          <w:szCs w:val="40"/>
          <w:lang w:val="en" w:eastAsia="en-US"/>
        </w:rPr>
        <w:t xml:space="preserve">General Practice </w:t>
      </w:r>
      <w:r w:rsidR="0009042D" w:rsidRPr="00C631DE">
        <w:rPr>
          <w:rFonts w:asciiTheme="minorHAnsi" w:hAnsiTheme="minorHAnsi" w:cstheme="minorHAnsi"/>
          <w:b/>
          <w:bCs/>
          <w:sz w:val="40"/>
          <w:szCs w:val="40"/>
          <w:lang w:val="en"/>
        </w:rPr>
        <w:t xml:space="preserve">Prescribing </w:t>
      </w:r>
      <w:r w:rsidR="00012A0D" w:rsidRPr="00C631DE">
        <w:rPr>
          <w:rFonts w:asciiTheme="minorHAnsi" w:hAnsiTheme="minorHAnsi" w:cstheme="minorHAnsi"/>
          <w:b/>
          <w:bCs/>
          <w:sz w:val="40"/>
          <w:szCs w:val="40"/>
          <w:lang w:val="en"/>
        </w:rPr>
        <w:t xml:space="preserve">Quality </w:t>
      </w:r>
      <w:r w:rsidR="0009042D" w:rsidRPr="00C631DE">
        <w:rPr>
          <w:rFonts w:asciiTheme="minorHAnsi" w:hAnsiTheme="minorHAnsi" w:cstheme="minorHAnsi"/>
          <w:b/>
          <w:bCs/>
          <w:sz w:val="40"/>
          <w:szCs w:val="40"/>
          <w:lang w:val="en"/>
        </w:rPr>
        <w:t>Scheme (P</w:t>
      </w:r>
      <w:r w:rsidR="00012A0D" w:rsidRPr="00C631DE">
        <w:rPr>
          <w:rFonts w:asciiTheme="minorHAnsi" w:hAnsiTheme="minorHAnsi" w:cstheme="minorHAnsi"/>
          <w:b/>
          <w:bCs/>
          <w:sz w:val="40"/>
          <w:szCs w:val="40"/>
          <w:lang w:val="en"/>
        </w:rPr>
        <w:t>Q</w:t>
      </w:r>
      <w:r w:rsidR="0009042D" w:rsidRPr="00C631DE">
        <w:rPr>
          <w:rFonts w:asciiTheme="minorHAnsi" w:hAnsiTheme="minorHAnsi" w:cstheme="minorHAnsi"/>
          <w:b/>
          <w:bCs/>
          <w:sz w:val="40"/>
          <w:szCs w:val="40"/>
          <w:lang w:val="en"/>
        </w:rPr>
        <w:t xml:space="preserve">S) </w:t>
      </w:r>
      <w:r w:rsidR="006A484A" w:rsidRPr="00C631DE">
        <w:rPr>
          <w:rFonts w:asciiTheme="minorHAnsi" w:hAnsiTheme="minorHAnsi" w:cstheme="minorHAnsi"/>
          <w:b/>
          <w:bCs/>
          <w:sz w:val="40"/>
          <w:szCs w:val="40"/>
        </w:rPr>
        <w:t>20</w:t>
      </w:r>
      <w:r w:rsidR="00167988" w:rsidRPr="00C631DE">
        <w:rPr>
          <w:rFonts w:asciiTheme="minorHAnsi" w:hAnsiTheme="minorHAnsi" w:cstheme="minorHAnsi"/>
          <w:b/>
          <w:bCs/>
          <w:sz w:val="40"/>
          <w:szCs w:val="40"/>
        </w:rPr>
        <w:t>2</w:t>
      </w:r>
      <w:r w:rsidR="001E0035" w:rsidRPr="00C631DE">
        <w:rPr>
          <w:rFonts w:asciiTheme="minorHAnsi" w:hAnsiTheme="minorHAnsi" w:cstheme="minorHAnsi"/>
          <w:b/>
          <w:bCs/>
          <w:sz w:val="40"/>
          <w:szCs w:val="40"/>
        </w:rPr>
        <w:t>4</w:t>
      </w:r>
      <w:r w:rsidR="00370F84" w:rsidRPr="00C631DE">
        <w:rPr>
          <w:rFonts w:asciiTheme="minorHAnsi" w:hAnsiTheme="minorHAnsi" w:cstheme="minorHAnsi"/>
          <w:b/>
          <w:bCs/>
          <w:sz w:val="40"/>
          <w:szCs w:val="40"/>
        </w:rPr>
        <w:t>/202</w:t>
      </w:r>
      <w:r w:rsidR="001E0035" w:rsidRPr="00C631DE">
        <w:rPr>
          <w:rFonts w:asciiTheme="minorHAnsi" w:hAnsiTheme="minorHAnsi" w:cstheme="minorHAnsi"/>
          <w:b/>
          <w:bCs/>
          <w:sz w:val="40"/>
          <w:szCs w:val="40"/>
        </w:rPr>
        <w:t>5</w:t>
      </w:r>
      <w:r w:rsidRPr="00C631DE">
        <w:rPr>
          <w:rFonts w:asciiTheme="minorHAnsi" w:hAnsiTheme="minorHAnsi" w:cstheme="minorHAnsi"/>
          <w:b/>
          <w:bCs/>
          <w:sz w:val="40"/>
          <w:szCs w:val="40"/>
        </w:rPr>
        <w:t xml:space="preserve"> – </w:t>
      </w:r>
    </w:p>
    <w:p w14:paraId="1938A544" w14:textId="26B873E1" w:rsidR="0009042D" w:rsidRPr="00C631DE" w:rsidRDefault="00C631DE" w:rsidP="00696D28">
      <w:pPr>
        <w:pStyle w:val="Default"/>
        <w:jc w:val="center"/>
        <w:rPr>
          <w:rFonts w:asciiTheme="minorHAnsi" w:hAnsiTheme="minorHAnsi" w:cstheme="minorHAnsi"/>
          <w:b/>
          <w:bCs/>
          <w:sz w:val="40"/>
          <w:szCs w:val="40"/>
        </w:rPr>
      </w:pPr>
      <w:r w:rsidRPr="00C631DE">
        <w:rPr>
          <w:rFonts w:asciiTheme="minorHAnsi" w:hAnsiTheme="minorHAnsi" w:cstheme="minorHAnsi"/>
          <w:b/>
          <w:bCs/>
          <w:sz w:val="40"/>
          <w:szCs w:val="40"/>
        </w:rPr>
        <w:t>Briefing for Community Pharmacy</w:t>
      </w:r>
    </w:p>
    <w:p w14:paraId="122DFB65" w14:textId="77777777" w:rsidR="0009042D" w:rsidRPr="00425231" w:rsidRDefault="0009042D" w:rsidP="0009042D">
      <w:pPr>
        <w:pStyle w:val="BodyTextIndent"/>
        <w:ind w:firstLine="0"/>
        <w:jc w:val="center"/>
        <w:rPr>
          <w:rFonts w:cs="Arial"/>
          <w:color w:val="000000"/>
          <w:sz w:val="10"/>
          <w:szCs w:val="16"/>
        </w:rPr>
      </w:pPr>
    </w:p>
    <w:p w14:paraId="7B1BEDEB" w14:textId="77777777" w:rsidR="00D610AD" w:rsidRPr="00D610AD" w:rsidRDefault="00D610AD" w:rsidP="00D610AD">
      <w:pPr>
        <w:spacing w:line="276" w:lineRule="auto"/>
        <w:jc w:val="both"/>
        <w:rPr>
          <w:rFonts w:asciiTheme="minorHAnsi" w:eastAsiaTheme="minorHAnsi" w:hAnsiTheme="minorHAnsi" w:cstheme="minorBidi"/>
          <w:sz w:val="4"/>
          <w:szCs w:val="4"/>
        </w:rPr>
      </w:pPr>
    </w:p>
    <w:p w14:paraId="7AF5D25E" w14:textId="77777777" w:rsidR="001840CE" w:rsidRDefault="00A57C80" w:rsidP="00C631DE">
      <w:pPr>
        <w:spacing w:after="120"/>
        <w:jc w:val="both"/>
        <w:rPr>
          <w:rFonts w:asciiTheme="minorHAnsi" w:eastAsiaTheme="minorHAnsi" w:hAnsiTheme="minorHAnsi" w:cstheme="minorBidi"/>
          <w:szCs w:val="24"/>
        </w:rPr>
      </w:pPr>
      <w:r>
        <w:rPr>
          <w:rFonts w:asciiTheme="minorHAnsi" w:eastAsiaTheme="minorHAnsi" w:hAnsiTheme="minorHAnsi" w:cstheme="minorBidi"/>
          <w:szCs w:val="24"/>
        </w:rPr>
        <w:t>This</w:t>
      </w:r>
      <w:r w:rsidR="006D655D" w:rsidRPr="006D655D">
        <w:rPr>
          <w:rFonts w:asciiTheme="minorHAnsi" w:eastAsiaTheme="minorHAnsi" w:hAnsiTheme="minorHAnsi" w:cstheme="minorBidi"/>
          <w:szCs w:val="24"/>
        </w:rPr>
        <w:t xml:space="preserve"> Prescribing</w:t>
      </w:r>
      <w:r w:rsidR="00012A0D">
        <w:rPr>
          <w:rFonts w:asciiTheme="minorHAnsi" w:eastAsiaTheme="minorHAnsi" w:hAnsiTheme="minorHAnsi" w:cstheme="minorBidi"/>
          <w:szCs w:val="24"/>
        </w:rPr>
        <w:t xml:space="preserve"> </w:t>
      </w:r>
      <w:r w:rsidR="0066427C">
        <w:rPr>
          <w:rFonts w:asciiTheme="minorHAnsi" w:eastAsiaTheme="minorHAnsi" w:hAnsiTheme="minorHAnsi" w:cstheme="minorBidi"/>
          <w:szCs w:val="24"/>
        </w:rPr>
        <w:t xml:space="preserve">Quality </w:t>
      </w:r>
      <w:r w:rsidR="006D655D" w:rsidRPr="006D655D">
        <w:rPr>
          <w:rFonts w:asciiTheme="minorHAnsi" w:eastAsiaTheme="minorHAnsi" w:hAnsiTheme="minorHAnsi" w:cstheme="minorBidi"/>
          <w:szCs w:val="24"/>
        </w:rPr>
        <w:t>Scheme (P</w:t>
      </w:r>
      <w:r w:rsidR="0066427C">
        <w:rPr>
          <w:rFonts w:asciiTheme="minorHAnsi" w:eastAsiaTheme="minorHAnsi" w:hAnsiTheme="minorHAnsi" w:cstheme="minorBidi"/>
          <w:szCs w:val="24"/>
        </w:rPr>
        <w:t>Q</w:t>
      </w:r>
      <w:r w:rsidR="006D655D" w:rsidRPr="006D655D">
        <w:rPr>
          <w:rFonts w:asciiTheme="minorHAnsi" w:eastAsiaTheme="minorHAnsi" w:hAnsiTheme="minorHAnsi" w:cstheme="minorBidi"/>
          <w:szCs w:val="24"/>
        </w:rPr>
        <w:t xml:space="preserve">S) has been designed to improve the quality and safety of prescribing </w:t>
      </w:r>
      <w:r w:rsidR="009F39C3">
        <w:rPr>
          <w:rFonts w:asciiTheme="minorHAnsi" w:eastAsiaTheme="minorHAnsi" w:hAnsiTheme="minorHAnsi" w:cstheme="minorBidi"/>
          <w:szCs w:val="24"/>
        </w:rPr>
        <w:t>in</w:t>
      </w:r>
      <w:r w:rsidR="006D655D" w:rsidRPr="006D655D">
        <w:rPr>
          <w:rFonts w:asciiTheme="minorHAnsi" w:eastAsiaTheme="minorHAnsi" w:hAnsiTheme="minorHAnsi" w:cstheme="minorBidi"/>
          <w:szCs w:val="24"/>
        </w:rPr>
        <w:t xml:space="preserve"> Primary</w:t>
      </w:r>
      <w:r w:rsidR="002111F0">
        <w:rPr>
          <w:rFonts w:asciiTheme="minorHAnsi" w:eastAsiaTheme="minorHAnsi" w:hAnsiTheme="minorHAnsi" w:cstheme="minorBidi"/>
          <w:szCs w:val="24"/>
        </w:rPr>
        <w:t xml:space="preserve"> Care</w:t>
      </w:r>
      <w:r w:rsidR="006D655D" w:rsidRPr="006D655D">
        <w:rPr>
          <w:rFonts w:asciiTheme="minorHAnsi" w:eastAsiaTheme="minorHAnsi" w:hAnsiTheme="minorHAnsi" w:cstheme="minorBidi"/>
          <w:szCs w:val="24"/>
        </w:rPr>
        <w:t xml:space="preserve">.  It is </w:t>
      </w:r>
      <w:r w:rsidR="00C631DE">
        <w:rPr>
          <w:rFonts w:asciiTheme="minorHAnsi" w:eastAsiaTheme="minorHAnsi" w:hAnsiTheme="minorHAnsi" w:cstheme="minorBidi"/>
          <w:szCs w:val="24"/>
        </w:rPr>
        <w:t>anticipated</w:t>
      </w:r>
      <w:r w:rsidR="006D655D" w:rsidRPr="006D655D">
        <w:rPr>
          <w:rFonts w:asciiTheme="minorHAnsi" w:eastAsiaTheme="minorHAnsi" w:hAnsiTheme="minorHAnsi" w:cstheme="minorBidi"/>
          <w:szCs w:val="24"/>
        </w:rPr>
        <w:t xml:space="preserve"> that all practices within BOB </w:t>
      </w:r>
      <w:r w:rsidR="008F3473">
        <w:rPr>
          <w:rFonts w:asciiTheme="minorHAnsi" w:eastAsiaTheme="minorHAnsi" w:hAnsiTheme="minorHAnsi" w:cstheme="minorBidi"/>
          <w:szCs w:val="24"/>
        </w:rPr>
        <w:t xml:space="preserve">ICB </w:t>
      </w:r>
      <w:r w:rsidR="006D655D" w:rsidRPr="006D655D">
        <w:rPr>
          <w:rFonts w:asciiTheme="minorHAnsi" w:eastAsiaTheme="minorHAnsi" w:hAnsiTheme="minorHAnsi" w:cstheme="minorBidi"/>
          <w:szCs w:val="24"/>
        </w:rPr>
        <w:t xml:space="preserve">will participate in the scheme.  </w:t>
      </w:r>
    </w:p>
    <w:p w14:paraId="56481A97" w14:textId="11AB7D62" w:rsidR="00442AFB" w:rsidRPr="00C631DE" w:rsidRDefault="001840CE" w:rsidP="00C631DE">
      <w:pPr>
        <w:spacing w:after="120"/>
        <w:jc w:val="both"/>
        <w:rPr>
          <w:rFonts w:asciiTheme="minorHAnsi" w:eastAsiaTheme="minorHAnsi" w:hAnsiTheme="minorHAnsi" w:cstheme="minorBidi"/>
          <w:szCs w:val="24"/>
        </w:rPr>
      </w:pPr>
      <w:r w:rsidRPr="00CF2FE2">
        <w:rPr>
          <w:rFonts w:ascii="Calibri" w:hAnsi="Calibri" w:cs="Calibri"/>
          <w:color w:val="000000"/>
          <w:sz w:val="23"/>
          <w:szCs w:val="23"/>
          <w:lang w:eastAsia="en-GB"/>
        </w:rPr>
        <w:t xml:space="preserve">Practices are encouraged to involve all relevant members of the practice team in the PQS. This includes GPs, Pharmacists, Nurses, Allied Healthcare Professionals and admin staff where appropriate. </w:t>
      </w:r>
      <w:r>
        <w:rPr>
          <w:rFonts w:ascii="Calibri" w:hAnsi="Calibri" w:cs="Calibri"/>
          <w:color w:val="000000"/>
          <w:sz w:val="23"/>
          <w:szCs w:val="23"/>
          <w:lang w:eastAsia="en-GB"/>
        </w:rPr>
        <w:t xml:space="preserve">  </w:t>
      </w:r>
      <w:r w:rsidR="002C1E3E">
        <w:rPr>
          <w:rFonts w:asciiTheme="minorHAnsi" w:eastAsiaTheme="minorHAnsi" w:hAnsiTheme="minorHAnsi" w:cs="Arial"/>
          <w:szCs w:val="22"/>
        </w:rPr>
        <w:t>The scheme will run from the 1</w:t>
      </w:r>
      <w:r w:rsidR="002C1E3E" w:rsidRPr="002C1E3E">
        <w:rPr>
          <w:rFonts w:asciiTheme="minorHAnsi" w:eastAsiaTheme="minorHAnsi" w:hAnsiTheme="minorHAnsi" w:cs="Arial"/>
          <w:szCs w:val="22"/>
          <w:vertAlign w:val="superscript"/>
        </w:rPr>
        <w:t>st</w:t>
      </w:r>
      <w:r w:rsidR="002C1E3E">
        <w:rPr>
          <w:rFonts w:asciiTheme="minorHAnsi" w:eastAsiaTheme="minorHAnsi" w:hAnsiTheme="minorHAnsi" w:cs="Arial"/>
          <w:szCs w:val="22"/>
        </w:rPr>
        <w:t xml:space="preserve"> </w:t>
      </w:r>
      <w:r w:rsidR="00345CAD">
        <w:rPr>
          <w:rFonts w:asciiTheme="minorHAnsi" w:eastAsiaTheme="minorHAnsi" w:hAnsiTheme="minorHAnsi" w:cs="Arial"/>
          <w:szCs w:val="22"/>
        </w:rPr>
        <w:t>April</w:t>
      </w:r>
      <w:r w:rsidR="002C1E3E">
        <w:rPr>
          <w:rFonts w:asciiTheme="minorHAnsi" w:eastAsiaTheme="minorHAnsi" w:hAnsiTheme="minorHAnsi" w:cs="Arial"/>
          <w:szCs w:val="22"/>
        </w:rPr>
        <w:t xml:space="preserve"> 202</w:t>
      </w:r>
      <w:r w:rsidR="00345CAD">
        <w:rPr>
          <w:rFonts w:asciiTheme="minorHAnsi" w:eastAsiaTheme="minorHAnsi" w:hAnsiTheme="minorHAnsi" w:cs="Arial"/>
          <w:szCs w:val="22"/>
        </w:rPr>
        <w:t>4</w:t>
      </w:r>
      <w:r w:rsidR="002C1E3E">
        <w:rPr>
          <w:rFonts w:asciiTheme="minorHAnsi" w:eastAsiaTheme="minorHAnsi" w:hAnsiTheme="minorHAnsi" w:cs="Arial"/>
          <w:szCs w:val="22"/>
        </w:rPr>
        <w:t xml:space="preserve"> to the 31</w:t>
      </w:r>
      <w:r w:rsidR="002C1E3E" w:rsidRPr="002C1E3E">
        <w:rPr>
          <w:rFonts w:asciiTheme="minorHAnsi" w:eastAsiaTheme="minorHAnsi" w:hAnsiTheme="minorHAnsi" w:cs="Arial"/>
          <w:szCs w:val="22"/>
          <w:vertAlign w:val="superscript"/>
        </w:rPr>
        <w:t>st</w:t>
      </w:r>
      <w:r w:rsidR="002C1E3E">
        <w:rPr>
          <w:rFonts w:asciiTheme="minorHAnsi" w:eastAsiaTheme="minorHAnsi" w:hAnsiTheme="minorHAnsi" w:cs="Arial"/>
          <w:szCs w:val="22"/>
        </w:rPr>
        <w:t xml:space="preserve"> March 202</w:t>
      </w:r>
      <w:r w:rsidR="00345CAD">
        <w:rPr>
          <w:rFonts w:asciiTheme="minorHAnsi" w:eastAsiaTheme="minorHAnsi" w:hAnsiTheme="minorHAnsi" w:cs="Arial"/>
          <w:szCs w:val="22"/>
        </w:rPr>
        <w:t>5</w:t>
      </w:r>
      <w:r w:rsidR="002C1E3E">
        <w:rPr>
          <w:rFonts w:asciiTheme="minorHAnsi" w:eastAsiaTheme="minorHAnsi" w:hAnsiTheme="minorHAnsi" w:cs="Arial"/>
          <w:szCs w:val="22"/>
        </w:rPr>
        <w:t>.</w:t>
      </w:r>
    </w:p>
    <w:p w14:paraId="7512A194" w14:textId="77777777" w:rsidR="002B6EDA" w:rsidRDefault="002B6EDA" w:rsidP="008E48C9">
      <w:pPr>
        <w:jc w:val="both"/>
        <w:rPr>
          <w:rFonts w:asciiTheme="minorHAnsi" w:hAnsiTheme="minorHAnsi" w:cs="Arial"/>
          <w:b/>
          <w:i/>
          <w:color w:val="FF0000"/>
          <w:sz w:val="8"/>
          <w:u w:val="single"/>
        </w:rPr>
      </w:pPr>
    </w:p>
    <w:p w14:paraId="416948FD" w14:textId="77777777" w:rsidR="001840CE" w:rsidRDefault="001840CE" w:rsidP="008E48C9">
      <w:pPr>
        <w:jc w:val="both"/>
        <w:rPr>
          <w:rFonts w:asciiTheme="minorHAnsi" w:hAnsiTheme="minorHAnsi" w:cs="Arial"/>
          <w:b/>
          <w:i/>
          <w:color w:val="FF0000"/>
          <w:sz w:val="8"/>
          <w:u w:val="single"/>
        </w:rPr>
      </w:pPr>
    </w:p>
    <w:p w14:paraId="51A90A14" w14:textId="77777777" w:rsidR="001840CE" w:rsidRPr="00425231" w:rsidRDefault="001840CE" w:rsidP="008E48C9">
      <w:pPr>
        <w:jc w:val="both"/>
        <w:rPr>
          <w:rFonts w:asciiTheme="minorHAnsi" w:hAnsiTheme="minorHAnsi" w:cs="Arial"/>
          <w:b/>
          <w:i/>
          <w:color w:val="FF0000"/>
          <w:sz w:val="8"/>
          <w:u w:val="single"/>
        </w:rPr>
      </w:pPr>
    </w:p>
    <w:p w14:paraId="46E9FD23" w14:textId="2FA386EE" w:rsidR="005F3C59" w:rsidRPr="007F374B" w:rsidRDefault="005F3C59" w:rsidP="007F374B">
      <w:pPr>
        <w:spacing w:after="120"/>
        <w:rPr>
          <w:rFonts w:asciiTheme="minorHAnsi" w:hAnsiTheme="minorHAnsi" w:cstheme="minorHAnsi"/>
          <w:b/>
          <w:sz w:val="32"/>
          <w:szCs w:val="24"/>
        </w:rPr>
      </w:pPr>
      <w:r>
        <w:rPr>
          <w:rFonts w:asciiTheme="minorHAnsi" w:hAnsiTheme="minorHAnsi" w:cstheme="minorHAnsi"/>
          <w:b/>
          <w:sz w:val="32"/>
          <w:szCs w:val="24"/>
        </w:rPr>
        <w:t>Dietetics</w:t>
      </w:r>
      <w:r w:rsidRPr="005F3C59">
        <w:rPr>
          <w:rFonts w:asciiTheme="minorHAnsi" w:hAnsiTheme="minorHAnsi" w:cstheme="minorHAnsi"/>
          <w:b/>
          <w:sz w:val="32"/>
          <w:szCs w:val="24"/>
        </w:rPr>
        <w:t xml:space="preserve"> target</w:t>
      </w:r>
      <w:r w:rsidR="007F374B">
        <w:rPr>
          <w:rFonts w:asciiTheme="minorHAnsi" w:hAnsiTheme="minorHAnsi" w:cstheme="minorHAnsi"/>
          <w:b/>
          <w:sz w:val="32"/>
          <w:szCs w:val="24"/>
        </w:rPr>
        <w:t xml:space="preserve">: </w:t>
      </w:r>
      <w:r w:rsidRPr="00B72191">
        <w:rPr>
          <w:rFonts w:asciiTheme="minorHAnsi" w:hAnsiTheme="minorHAnsi" w:cstheme="minorHAnsi"/>
          <w:bCs/>
          <w:color w:val="FF0000"/>
          <w:szCs w:val="24"/>
        </w:rPr>
        <w:t>This target is</w:t>
      </w:r>
      <w:r w:rsidRPr="00781F85">
        <w:rPr>
          <w:rFonts w:asciiTheme="minorHAnsi" w:hAnsiTheme="minorHAnsi" w:cstheme="minorHAnsi"/>
          <w:b/>
          <w:color w:val="FF0000"/>
          <w:szCs w:val="24"/>
        </w:rPr>
        <w:t xml:space="preserve"> </w:t>
      </w:r>
      <w:r w:rsidRPr="00561A66">
        <w:rPr>
          <w:rFonts w:asciiTheme="minorHAnsi" w:hAnsiTheme="minorHAnsi" w:cstheme="minorHAnsi"/>
          <w:b/>
          <w:color w:val="FF0000"/>
          <w:szCs w:val="24"/>
          <w:u w:val="single"/>
        </w:rPr>
        <w:t>not optional</w:t>
      </w:r>
      <w:r w:rsidRPr="00B72191">
        <w:rPr>
          <w:rFonts w:asciiTheme="minorHAnsi" w:hAnsiTheme="minorHAnsi" w:cstheme="minorHAnsi"/>
          <w:bCs/>
          <w:color w:val="FF0000"/>
          <w:szCs w:val="24"/>
        </w:rPr>
        <w:t>. If practices chose not to participate in this target, they will lose the points allocated</w:t>
      </w:r>
      <w:r w:rsidR="00B56FBD" w:rsidRPr="00B72191">
        <w:rPr>
          <w:rFonts w:asciiTheme="minorHAnsi" w:hAnsiTheme="minorHAnsi" w:cstheme="minorHAnsi"/>
          <w:bCs/>
          <w:color w:val="FF0000"/>
          <w:szCs w:val="24"/>
        </w:rPr>
        <w:t xml:space="preserve"> for this target.</w:t>
      </w:r>
    </w:p>
    <w:p w14:paraId="5A5301F3" w14:textId="77777777" w:rsidR="00B72191" w:rsidRPr="00B72191" w:rsidRDefault="00B72191" w:rsidP="005F3C59">
      <w:pPr>
        <w:rPr>
          <w:rFonts w:asciiTheme="minorHAnsi" w:hAnsiTheme="minorHAnsi" w:cstheme="minorHAnsi"/>
          <w:bCs/>
          <w:color w:val="FF0000"/>
          <w:sz w:val="6"/>
          <w:szCs w:val="6"/>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7"/>
        <w:gridCol w:w="4185"/>
        <w:gridCol w:w="4185"/>
      </w:tblGrid>
      <w:tr w:rsidR="00381097" w14:paraId="2F318060" w14:textId="50CB0078" w:rsidTr="00466DAD">
        <w:trPr>
          <w:trHeight w:val="427"/>
        </w:trPr>
        <w:tc>
          <w:tcPr>
            <w:tcW w:w="1915" w:type="pct"/>
            <w:shd w:val="clear" w:color="auto" w:fill="CCFFFF"/>
            <w:vAlign w:val="center"/>
          </w:tcPr>
          <w:p w14:paraId="1BEEE4AF" w14:textId="77777777" w:rsidR="00381097" w:rsidRDefault="00381097" w:rsidP="00381097">
            <w:pPr>
              <w:jc w:val="center"/>
              <w:rPr>
                <w:rFonts w:cs="Arial"/>
                <w:b/>
                <w:color w:val="000000"/>
                <w:sz w:val="18"/>
                <w:szCs w:val="22"/>
              </w:rPr>
            </w:pPr>
            <w:r>
              <w:rPr>
                <w:rFonts w:cs="Arial"/>
                <w:b/>
                <w:color w:val="000000"/>
                <w:sz w:val="18"/>
                <w:szCs w:val="22"/>
              </w:rPr>
              <w:t>Dietetics</w:t>
            </w:r>
          </w:p>
        </w:tc>
        <w:tc>
          <w:tcPr>
            <w:tcW w:w="1542" w:type="pct"/>
            <w:shd w:val="clear" w:color="auto" w:fill="CCFFFF"/>
            <w:vAlign w:val="center"/>
          </w:tcPr>
          <w:p w14:paraId="13CCB467" w14:textId="77777777" w:rsidR="00381097" w:rsidRDefault="00381097" w:rsidP="00381097">
            <w:pPr>
              <w:jc w:val="center"/>
              <w:rPr>
                <w:rFonts w:cs="Arial"/>
                <w:b/>
                <w:bCs/>
                <w:color w:val="000000"/>
                <w:sz w:val="18"/>
                <w:szCs w:val="22"/>
              </w:rPr>
            </w:pPr>
            <w:r>
              <w:rPr>
                <w:rFonts w:cs="Arial"/>
                <w:b/>
                <w:bCs/>
                <w:color w:val="000000"/>
                <w:sz w:val="18"/>
                <w:szCs w:val="22"/>
              </w:rPr>
              <w:t>Rationale</w:t>
            </w:r>
          </w:p>
        </w:tc>
        <w:tc>
          <w:tcPr>
            <w:tcW w:w="1542" w:type="pct"/>
            <w:shd w:val="clear" w:color="auto" w:fill="CCFFFF"/>
            <w:vAlign w:val="center"/>
          </w:tcPr>
          <w:p w14:paraId="55697A12" w14:textId="76505833" w:rsidR="00381097" w:rsidRDefault="00381097" w:rsidP="00381097">
            <w:pPr>
              <w:jc w:val="center"/>
              <w:rPr>
                <w:rFonts w:cs="Arial"/>
                <w:b/>
                <w:bCs/>
                <w:color w:val="000000"/>
                <w:sz w:val="18"/>
                <w:szCs w:val="22"/>
              </w:rPr>
            </w:pPr>
            <w:r>
              <w:rPr>
                <w:rFonts w:cs="Arial"/>
                <w:b/>
                <w:bCs/>
                <w:color w:val="000000"/>
                <w:sz w:val="18"/>
                <w:szCs w:val="22"/>
              </w:rPr>
              <w:t>Useful resources for Community Pharmacy</w:t>
            </w:r>
          </w:p>
        </w:tc>
      </w:tr>
      <w:tr w:rsidR="00381097" w:rsidRPr="00D8521A" w14:paraId="1ECD24E2" w14:textId="5809DB1B" w:rsidTr="00466DAD">
        <w:trPr>
          <w:trHeight w:val="427"/>
        </w:trPr>
        <w:tc>
          <w:tcPr>
            <w:tcW w:w="1915" w:type="pct"/>
            <w:shd w:val="clear" w:color="auto" w:fill="auto"/>
            <w:vAlign w:val="center"/>
          </w:tcPr>
          <w:p w14:paraId="1916BC1E" w14:textId="77777777" w:rsidR="00381097" w:rsidRPr="00052BB8" w:rsidRDefault="00381097" w:rsidP="00381097">
            <w:pPr>
              <w:spacing w:before="120" w:after="120"/>
              <w:jc w:val="both"/>
              <w:rPr>
                <w:rFonts w:asciiTheme="minorHAnsi" w:hAnsiTheme="minorHAnsi" w:cstheme="minorHAnsi"/>
                <w:sz w:val="20"/>
                <w:szCs w:val="16"/>
              </w:rPr>
            </w:pPr>
            <w:r w:rsidRPr="00052BB8">
              <w:rPr>
                <w:rFonts w:asciiTheme="minorHAnsi" w:hAnsiTheme="minorHAnsi" w:cstheme="minorHAnsi"/>
                <w:sz w:val="20"/>
                <w:szCs w:val="16"/>
              </w:rPr>
              <w:t>Identification of patients prescribed Ensure Plus Milkshake Style, Ensure Plus Advance and Ensure Compact. (There are 3 separate searches for this target)</w:t>
            </w:r>
          </w:p>
          <w:p w14:paraId="183B8B31" w14:textId="77777777" w:rsidR="00381097" w:rsidRPr="00052BB8" w:rsidRDefault="00381097" w:rsidP="00381097">
            <w:pPr>
              <w:spacing w:before="120" w:after="120"/>
              <w:jc w:val="both"/>
              <w:rPr>
                <w:rFonts w:asciiTheme="minorHAnsi" w:hAnsiTheme="minorHAnsi" w:cstheme="minorHAnsi"/>
                <w:bCs/>
                <w:color w:val="000000"/>
                <w:sz w:val="20"/>
                <w:szCs w:val="16"/>
              </w:rPr>
            </w:pPr>
            <w:r w:rsidRPr="00052BB8">
              <w:rPr>
                <w:rFonts w:asciiTheme="minorHAnsi" w:hAnsiTheme="minorHAnsi" w:cstheme="minorHAnsi"/>
                <w:bCs/>
                <w:color w:val="000000"/>
                <w:sz w:val="20"/>
                <w:szCs w:val="16"/>
              </w:rPr>
              <w:t>Practices should review the patients and consider stopping supplementation where it is no longer clinically appropriate or switching to a more cost-effective formulary product.</w:t>
            </w:r>
          </w:p>
        </w:tc>
        <w:tc>
          <w:tcPr>
            <w:tcW w:w="1542" w:type="pct"/>
            <w:shd w:val="clear" w:color="auto" w:fill="auto"/>
            <w:vAlign w:val="center"/>
          </w:tcPr>
          <w:p w14:paraId="272B4626" w14:textId="77777777" w:rsidR="00381097" w:rsidRPr="00052BB8" w:rsidRDefault="00381097" w:rsidP="00381097">
            <w:pPr>
              <w:spacing w:before="120" w:after="120"/>
              <w:jc w:val="both"/>
              <w:rPr>
                <w:rFonts w:asciiTheme="minorHAnsi" w:hAnsiTheme="minorHAnsi" w:cstheme="minorHAnsi"/>
                <w:sz w:val="20"/>
                <w:szCs w:val="16"/>
              </w:rPr>
            </w:pPr>
            <w:r w:rsidRPr="00052BB8">
              <w:rPr>
                <w:rFonts w:asciiTheme="minorHAnsi" w:hAnsiTheme="minorHAnsi" w:cstheme="minorHAnsi"/>
                <w:sz w:val="20"/>
                <w:szCs w:val="16"/>
              </w:rPr>
              <w:t>Oral Nutritional Support is a priority area for the South-East region to identify and deliver savings to the wider system.</w:t>
            </w:r>
          </w:p>
          <w:p w14:paraId="422EF72C" w14:textId="5196784B" w:rsidR="00381097" w:rsidRPr="00052BB8" w:rsidRDefault="00381097" w:rsidP="00381097">
            <w:pPr>
              <w:spacing w:before="120" w:after="120"/>
              <w:jc w:val="both"/>
              <w:rPr>
                <w:rFonts w:asciiTheme="minorHAnsi" w:hAnsiTheme="minorHAnsi" w:cstheme="minorHAnsi"/>
                <w:sz w:val="20"/>
                <w:szCs w:val="16"/>
              </w:rPr>
            </w:pPr>
            <w:r w:rsidRPr="00052BB8">
              <w:rPr>
                <w:rFonts w:asciiTheme="minorHAnsi" w:eastAsiaTheme="minorHAnsi" w:hAnsiTheme="minorHAnsi" w:cstheme="minorBidi"/>
                <w:sz w:val="20"/>
                <w:szCs w:val="16"/>
              </w:rPr>
              <w:t xml:space="preserve">More cost-effective products have recently been added to the </w:t>
            </w:r>
            <w:hyperlink w:anchor="_BOB_ICB_Adult" w:history="1">
              <w:r w:rsidRPr="00052BB8">
                <w:rPr>
                  <w:rFonts w:asciiTheme="minorHAnsi" w:eastAsiaTheme="minorHAnsi" w:hAnsiTheme="minorHAnsi" w:cstheme="minorBidi"/>
                  <w:color w:val="0000FF" w:themeColor="hyperlink"/>
                  <w:sz w:val="20"/>
                  <w:szCs w:val="16"/>
                  <w:u w:val="single"/>
                </w:rPr>
                <w:t>BOB ICB ONS formulary</w:t>
              </w:r>
            </w:hyperlink>
            <w:r w:rsidRPr="00052BB8">
              <w:rPr>
                <w:rFonts w:asciiTheme="minorHAnsi" w:eastAsiaTheme="minorHAnsi" w:hAnsiTheme="minorHAnsi" w:cstheme="minorBidi"/>
                <w:sz w:val="20"/>
                <w:szCs w:val="16"/>
                <w:vertAlign w:val="superscript"/>
              </w:rPr>
              <w:t>1</w:t>
            </w:r>
            <w:r w:rsidRPr="00052BB8">
              <w:rPr>
                <w:rFonts w:asciiTheme="minorHAnsi" w:eastAsiaTheme="minorHAnsi" w:hAnsiTheme="minorHAnsi" w:cstheme="minorBidi"/>
                <w:sz w:val="20"/>
                <w:szCs w:val="16"/>
              </w:rPr>
              <w:t xml:space="preserve"> to replace the products previously recommended.</w:t>
            </w:r>
          </w:p>
        </w:tc>
        <w:tc>
          <w:tcPr>
            <w:tcW w:w="1542" w:type="pct"/>
            <w:vAlign w:val="center"/>
          </w:tcPr>
          <w:p w14:paraId="49BBFC75" w14:textId="77777777" w:rsidR="00381097" w:rsidRDefault="00731F65" w:rsidP="00466DAD">
            <w:pPr>
              <w:spacing w:before="120" w:after="120"/>
              <w:jc w:val="both"/>
              <w:rPr>
                <w:rFonts w:asciiTheme="minorHAnsi" w:hAnsiTheme="minorHAnsi" w:cstheme="minorHAnsi"/>
                <w:sz w:val="20"/>
                <w:szCs w:val="16"/>
              </w:rPr>
            </w:pPr>
            <w:hyperlink r:id="rId9" w:history="1">
              <w:r w:rsidR="00466DAD" w:rsidRPr="00466DAD">
                <w:rPr>
                  <w:rStyle w:val="Hyperlink"/>
                  <w:rFonts w:asciiTheme="minorHAnsi" w:hAnsiTheme="minorHAnsi" w:cstheme="minorHAnsi"/>
                  <w:sz w:val="20"/>
                  <w:szCs w:val="16"/>
                </w:rPr>
                <w:t>BOB APC Adult Oral Nutritional Supplement</w:t>
              </w:r>
              <w:r w:rsidR="00466DAD" w:rsidRPr="00466DAD">
                <w:rPr>
                  <w:rStyle w:val="Hyperlink"/>
                  <w:rFonts w:asciiTheme="minorHAnsi" w:hAnsiTheme="minorHAnsi" w:cstheme="minorHAnsi"/>
                  <w:sz w:val="20"/>
                  <w:szCs w:val="16"/>
                </w:rPr>
                <w:br/>
                <w:t>(ONS) and Tube Feed Formulary </w:t>
              </w:r>
            </w:hyperlink>
          </w:p>
          <w:permStart w:id="783317795" w:edGrp="everyone"/>
          <w:p w14:paraId="3626817C" w14:textId="29FBDDE3" w:rsidR="000B419A" w:rsidRPr="00466DAD" w:rsidRDefault="00EC62FE" w:rsidP="00466DAD">
            <w:pPr>
              <w:spacing w:before="120" w:after="120"/>
              <w:jc w:val="both"/>
              <w:rPr>
                <w:rFonts w:asciiTheme="minorHAnsi" w:hAnsiTheme="minorHAnsi" w:cstheme="minorHAnsi"/>
                <w:sz w:val="20"/>
                <w:szCs w:val="16"/>
              </w:rPr>
            </w:pPr>
            <w:r>
              <w:rPr>
                <w:rFonts w:asciiTheme="minorHAnsi" w:hAnsiTheme="minorHAnsi" w:cstheme="minorHAnsi"/>
                <w:sz w:val="20"/>
                <w:szCs w:val="16"/>
              </w:rPr>
              <w:object w:dxaOrig="1508" w:dyaOrig="983" w14:anchorId="0D10E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9.1pt" o:ole="">
                  <v:imagedata r:id="rId10" o:title=""/>
                </v:shape>
                <o:OLEObject Type="Embed" ProgID="AcroExch.Document.DC" ShapeID="_x0000_i1025" DrawAspect="Icon" ObjectID="_1773732885" r:id="rId11"/>
              </w:object>
            </w:r>
            <w:permEnd w:id="783317795"/>
          </w:p>
        </w:tc>
      </w:tr>
    </w:tbl>
    <w:p w14:paraId="2E834B8B" w14:textId="77777777" w:rsidR="001840CE" w:rsidRDefault="001840CE" w:rsidP="00781F85">
      <w:pPr>
        <w:spacing w:before="120"/>
        <w:rPr>
          <w:rFonts w:asciiTheme="minorHAnsi" w:hAnsiTheme="minorHAnsi" w:cstheme="minorHAnsi"/>
          <w:b/>
          <w:sz w:val="32"/>
          <w:szCs w:val="32"/>
        </w:rPr>
      </w:pPr>
    </w:p>
    <w:p w14:paraId="5DEF75CD" w14:textId="77777777" w:rsidR="001840CE" w:rsidRDefault="001840CE" w:rsidP="00781F85">
      <w:pPr>
        <w:spacing w:before="120"/>
        <w:rPr>
          <w:rFonts w:asciiTheme="minorHAnsi" w:hAnsiTheme="minorHAnsi" w:cstheme="minorHAnsi"/>
          <w:b/>
          <w:sz w:val="32"/>
          <w:szCs w:val="32"/>
        </w:rPr>
      </w:pPr>
    </w:p>
    <w:p w14:paraId="2BFAF746" w14:textId="77777777" w:rsidR="001840CE" w:rsidRDefault="001840CE" w:rsidP="00781F85">
      <w:pPr>
        <w:spacing w:before="120"/>
        <w:rPr>
          <w:rFonts w:asciiTheme="minorHAnsi" w:hAnsiTheme="minorHAnsi" w:cstheme="minorHAnsi"/>
          <w:b/>
          <w:sz w:val="32"/>
          <w:szCs w:val="32"/>
        </w:rPr>
      </w:pPr>
    </w:p>
    <w:p w14:paraId="420F6BA1" w14:textId="77777777" w:rsidR="001840CE" w:rsidRDefault="001840CE" w:rsidP="001840CE">
      <w:pPr>
        <w:rPr>
          <w:rFonts w:asciiTheme="minorHAnsi" w:hAnsiTheme="minorHAnsi" w:cstheme="minorHAnsi"/>
          <w:b/>
          <w:sz w:val="32"/>
          <w:szCs w:val="32"/>
        </w:rPr>
      </w:pPr>
    </w:p>
    <w:p w14:paraId="5466EED5" w14:textId="5285B098" w:rsidR="00781F85" w:rsidRPr="007F374B" w:rsidRDefault="00781F85" w:rsidP="001840CE">
      <w:pPr>
        <w:rPr>
          <w:rFonts w:asciiTheme="minorHAnsi" w:hAnsiTheme="minorHAnsi" w:cstheme="minorHAnsi"/>
          <w:b/>
          <w:sz w:val="32"/>
          <w:szCs w:val="32"/>
        </w:rPr>
      </w:pPr>
      <w:r w:rsidRPr="001D17E1">
        <w:rPr>
          <w:rFonts w:asciiTheme="minorHAnsi" w:hAnsiTheme="minorHAnsi" w:cstheme="minorHAnsi"/>
          <w:b/>
          <w:sz w:val="32"/>
          <w:szCs w:val="32"/>
        </w:rPr>
        <w:lastRenderedPageBreak/>
        <w:t xml:space="preserve">Quality </w:t>
      </w:r>
      <w:r>
        <w:rPr>
          <w:rFonts w:asciiTheme="minorHAnsi" w:hAnsiTheme="minorHAnsi" w:cstheme="minorHAnsi"/>
          <w:b/>
          <w:sz w:val="32"/>
          <w:szCs w:val="32"/>
        </w:rPr>
        <w:t>Improvement</w:t>
      </w:r>
      <w:r w:rsidRPr="001D17E1">
        <w:rPr>
          <w:rFonts w:asciiTheme="minorHAnsi" w:hAnsiTheme="minorHAnsi" w:cstheme="minorHAnsi"/>
          <w:b/>
          <w:sz w:val="32"/>
          <w:szCs w:val="32"/>
        </w:rPr>
        <w:t xml:space="preserve"> targets</w:t>
      </w:r>
      <w:r w:rsidR="007F374B">
        <w:rPr>
          <w:rFonts w:asciiTheme="minorHAnsi" w:hAnsiTheme="minorHAnsi" w:cstheme="minorHAnsi"/>
          <w:b/>
          <w:sz w:val="32"/>
          <w:szCs w:val="32"/>
        </w:rPr>
        <w:t xml:space="preserve">: </w:t>
      </w:r>
      <w:r w:rsidRPr="00B72191">
        <w:rPr>
          <w:rFonts w:asciiTheme="minorHAnsi" w:hAnsiTheme="minorHAnsi" w:cstheme="minorHAnsi"/>
          <w:bCs/>
          <w:color w:val="FF0000"/>
          <w:szCs w:val="24"/>
        </w:rPr>
        <w:t>The practice must select</w:t>
      </w:r>
      <w:r w:rsidRPr="00781F85">
        <w:rPr>
          <w:rFonts w:asciiTheme="minorHAnsi" w:hAnsiTheme="minorHAnsi" w:cstheme="minorHAnsi"/>
          <w:b/>
          <w:color w:val="FF0000"/>
          <w:szCs w:val="24"/>
        </w:rPr>
        <w:t xml:space="preserve"> </w:t>
      </w:r>
      <w:r w:rsidR="00561A66" w:rsidRPr="00561A66">
        <w:rPr>
          <w:rFonts w:asciiTheme="minorHAnsi" w:hAnsiTheme="minorHAnsi" w:cstheme="minorHAnsi"/>
          <w:b/>
          <w:color w:val="FF0000"/>
          <w:szCs w:val="24"/>
          <w:u w:val="single"/>
        </w:rPr>
        <w:t>ONE</w:t>
      </w:r>
      <w:r w:rsidRPr="00781F85">
        <w:rPr>
          <w:rFonts w:asciiTheme="minorHAnsi" w:hAnsiTheme="minorHAnsi" w:cstheme="minorHAnsi"/>
          <w:b/>
          <w:color w:val="FF0000"/>
          <w:szCs w:val="24"/>
        </w:rPr>
        <w:t xml:space="preserve"> </w:t>
      </w:r>
      <w:r w:rsidRPr="00B72191">
        <w:rPr>
          <w:rFonts w:asciiTheme="minorHAnsi" w:hAnsiTheme="minorHAnsi" w:cstheme="minorHAnsi"/>
          <w:bCs/>
          <w:color w:val="FF0000"/>
          <w:szCs w:val="24"/>
        </w:rPr>
        <w:t>of the following 2 options</w:t>
      </w:r>
      <w:r w:rsidR="00B56FBD" w:rsidRPr="00B72191">
        <w:rPr>
          <w:rFonts w:asciiTheme="minorHAnsi" w:hAnsiTheme="minorHAnsi" w:cstheme="minorHAnsi"/>
          <w:bCs/>
          <w:color w:val="FF0000"/>
          <w:szCs w:val="24"/>
        </w:rPr>
        <w:t xml:space="preserve">. </w:t>
      </w:r>
    </w:p>
    <w:p w14:paraId="08D7DC23" w14:textId="1F67D6DC" w:rsidR="00781F85" w:rsidRPr="009362BE" w:rsidRDefault="00781F85" w:rsidP="009362BE">
      <w:pPr>
        <w:spacing w:after="120"/>
        <w:rPr>
          <w:rFonts w:asciiTheme="minorHAnsi" w:hAnsiTheme="minorHAnsi" w:cstheme="minorHAnsi"/>
          <w:b/>
          <w:szCs w:val="24"/>
        </w:rPr>
      </w:pPr>
      <w:bookmarkStart w:id="0" w:name="_Hlk161928652"/>
      <w:r w:rsidRPr="009362BE">
        <w:rPr>
          <w:rFonts w:asciiTheme="minorHAnsi" w:hAnsiTheme="minorHAnsi" w:cstheme="minorHAnsi"/>
          <w:b/>
          <w:szCs w:val="24"/>
        </w:rPr>
        <w:t>QI Option 1</w:t>
      </w:r>
      <w:r w:rsidR="007D2D14">
        <w:rPr>
          <w:rFonts w:asciiTheme="minorHAnsi" w:hAnsiTheme="minorHAnsi" w:cstheme="minorHAnsi"/>
          <w:b/>
          <w:szCs w:val="24"/>
        </w:rPr>
        <w:t xml:space="preserve"> </w:t>
      </w:r>
      <w:r w:rsidR="0060699E">
        <w:rPr>
          <w:rFonts w:asciiTheme="minorHAnsi" w:hAnsiTheme="minorHAnsi" w:cstheme="minorHAnsi"/>
          <w:b/>
          <w:szCs w:val="24"/>
        </w:rPr>
        <w:t>–</w:t>
      </w:r>
      <w:r w:rsidR="007D2D14">
        <w:rPr>
          <w:rFonts w:asciiTheme="minorHAnsi" w:hAnsiTheme="minorHAnsi" w:cstheme="minorHAnsi"/>
          <w:b/>
          <w:szCs w:val="24"/>
        </w:rPr>
        <w:t xml:space="preserve"> </w:t>
      </w:r>
      <w:r w:rsidR="0060699E">
        <w:rPr>
          <w:rFonts w:asciiTheme="minorHAnsi" w:hAnsiTheme="minorHAnsi" w:cstheme="minorHAnsi"/>
          <w:b/>
          <w:szCs w:val="24"/>
        </w:rPr>
        <w:t xml:space="preserve">Chronic </w:t>
      </w:r>
      <w:r w:rsidR="007D2D14">
        <w:rPr>
          <w:rFonts w:asciiTheme="minorHAnsi" w:hAnsiTheme="minorHAnsi" w:cstheme="minorHAnsi"/>
          <w:b/>
          <w:szCs w:val="24"/>
        </w:rPr>
        <w:t>O</w:t>
      </w:r>
      <w:r w:rsidR="0060699E">
        <w:rPr>
          <w:rFonts w:asciiTheme="minorHAnsi" w:hAnsiTheme="minorHAnsi" w:cstheme="minorHAnsi"/>
          <w:b/>
          <w:szCs w:val="24"/>
        </w:rPr>
        <w:t xml:space="preserve">bstructive </w:t>
      </w:r>
      <w:r w:rsidR="007D2D14">
        <w:rPr>
          <w:rFonts w:asciiTheme="minorHAnsi" w:hAnsiTheme="minorHAnsi" w:cstheme="minorHAnsi"/>
          <w:b/>
          <w:szCs w:val="24"/>
        </w:rPr>
        <w:t>P</w:t>
      </w:r>
      <w:r w:rsidR="0060699E">
        <w:rPr>
          <w:rFonts w:asciiTheme="minorHAnsi" w:hAnsiTheme="minorHAnsi" w:cstheme="minorHAnsi"/>
          <w:b/>
          <w:szCs w:val="24"/>
        </w:rPr>
        <w:t xml:space="preserve">ulmonary </w:t>
      </w:r>
      <w:r w:rsidR="007D2D14">
        <w:rPr>
          <w:rFonts w:asciiTheme="minorHAnsi" w:hAnsiTheme="minorHAnsi" w:cstheme="minorHAnsi"/>
          <w:b/>
          <w:szCs w:val="24"/>
        </w:rPr>
        <w:t>D</w:t>
      </w:r>
      <w:r w:rsidR="0060699E">
        <w:rPr>
          <w:rFonts w:asciiTheme="minorHAnsi" w:hAnsiTheme="minorHAnsi" w:cstheme="minorHAnsi"/>
          <w:b/>
          <w:szCs w:val="24"/>
        </w:rPr>
        <w:t>isease</w:t>
      </w:r>
      <w:r w:rsidR="007D2D14">
        <w:rPr>
          <w:rFonts w:asciiTheme="minorHAnsi" w:hAnsiTheme="minorHAnsi" w:cstheme="minorHAnsi"/>
          <w:b/>
          <w:szCs w:val="24"/>
        </w:rPr>
        <w:t xml:space="preserve"> </w:t>
      </w:r>
      <w:r w:rsidR="0060699E">
        <w:rPr>
          <w:rFonts w:asciiTheme="minorHAnsi" w:hAnsiTheme="minorHAnsi" w:cstheme="minorHAnsi"/>
          <w:b/>
          <w:szCs w:val="24"/>
        </w:rPr>
        <w:t xml:space="preserve">(COPD) </w:t>
      </w:r>
      <w:r w:rsidR="007D2D14">
        <w:rPr>
          <w:rFonts w:asciiTheme="minorHAnsi" w:hAnsiTheme="minorHAnsi" w:cstheme="minorHAnsi"/>
          <w:b/>
          <w:szCs w:val="24"/>
        </w:rPr>
        <w:t>Exacerbation Management</w:t>
      </w:r>
    </w:p>
    <w:bookmarkEnd w:id="0"/>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183"/>
        <w:gridCol w:w="4183"/>
      </w:tblGrid>
      <w:tr w:rsidR="00381097" w:rsidRPr="00776198" w14:paraId="727A8694" w14:textId="59BAA6E2" w:rsidTr="00C80369">
        <w:trPr>
          <w:trHeight w:val="354"/>
        </w:trPr>
        <w:tc>
          <w:tcPr>
            <w:tcW w:w="1916" w:type="pct"/>
            <w:shd w:val="clear" w:color="auto" w:fill="CCFFFF"/>
            <w:vAlign w:val="center"/>
          </w:tcPr>
          <w:p w14:paraId="1FA7993D" w14:textId="48747AAE" w:rsidR="00381097" w:rsidRPr="00776198" w:rsidRDefault="00381097" w:rsidP="00381097">
            <w:pPr>
              <w:jc w:val="center"/>
              <w:rPr>
                <w:rFonts w:asciiTheme="minorHAnsi" w:hAnsiTheme="minorHAnsi" w:cstheme="minorHAnsi"/>
                <w:b/>
                <w:sz w:val="20"/>
                <w:szCs w:val="22"/>
              </w:rPr>
            </w:pPr>
            <w:r w:rsidRPr="00776198">
              <w:rPr>
                <w:rFonts w:asciiTheme="minorHAnsi" w:hAnsiTheme="minorHAnsi" w:cstheme="minorHAnsi"/>
                <w:sz w:val="20"/>
                <w:szCs w:val="22"/>
              </w:rPr>
              <w:br w:type="page"/>
            </w:r>
            <w:r w:rsidRPr="00776198">
              <w:rPr>
                <w:rFonts w:asciiTheme="minorHAnsi" w:hAnsiTheme="minorHAnsi" w:cstheme="minorHAnsi"/>
                <w:b/>
                <w:bCs/>
                <w:sz w:val="20"/>
                <w:szCs w:val="22"/>
              </w:rPr>
              <w:t>Respiratory</w:t>
            </w:r>
          </w:p>
        </w:tc>
        <w:tc>
          <w:tcPr>
            <w:tcW w:w="1542" w:type="pct"/>
            <w:shd w:val="clear" w:color="auto" w:fill="CCFFFF"/>
            <w:vAlign w:val="center"/>
          </w:tcPr>
          <w:p w14:paraId="23D30BDB" w14:textId="77777777" w:rsidR="00381097" w:rsidRPr="00776198" w:rsidRDefault="00381097" w:rsidP="00381097">
            <w:pPr>
              <w:jc w:val="center"/>
              <w:rPr>
                <w:rFonts w:asciiTheme="minorHAnsi" w:hAnsiTheme="minorHAnsi" w:cstheme="minorHAnsi"/>
                <w:b/>
                <w:bCs/>
                <w:sz w:val="20"/>
                <w:szCs w:val="22"/>
              </w:rPr>
            </w:pPr>
            <w:r w:rsidRPr="00776198">
              <w:rPr>
                <w:rFonts w:asciiTheme="minorHAnsi" w:hAnsiTheme="minorHAnsi" w:cstheme="minorHAnsi"/>
                <w:b/>
                <w:bCs/>
                <w:sz w:val="20"/>
                <w:szCs w:val="22"/>
              </w:rPr>
              <w:t>Rationale</w:t>
            </w:r>
          </w:p>
        </w:tc>
        <w:tc>
          <w:tcPr>
            <w:tcW w:w="1542" w:type="pct"/>
            <w:shd w:val="clear" w:color="auto" w:fill="CCFFFF"/>
            <w:vAlign w:val="center"/>
          </w:tcPr>
          <w:p w14:paraId="68A10BB5" w14:textId="4BB7675C" w:rsidR="00381097" w:rsidRPr="00776198" w:rsidRDefault="00381097" w:rsidP="00381097">
            <w:pPr>
              <w:jc w:val="center"/>
              <w:rPr>
                <w:rFonts w:asciiTheme="minorHAnsi" w:hAnsiTheme="minorHAnsi" w:cstheme="minorHAnsi"/>
                <w:b/>
                <w:bCs/>
                <w:sz w:val="20"/>
                <w:szCs w:val="22"/>
              </w:rPr>
            </w:pPr>
            <w:r>
              <w:rPr>
                <w:rFonts w:cs="Arial"/>
                <w:b/>
                <w:bCs/>
                <w:color w:val="000000"/>
                <w:sz w:val="18"/>
                <w:szCs w:val="22"/>
              </w:rPr>
              <w:t>Useful resources for Community Pharmacy</w:t>
            </w:r>
          </w:p>
        </w:tc>
      </w:tr>
      <w:tr w:rsidR="00381097" w:rsidRPr="00696D28" w14:paraId="2E1DC02D" w14:textId="054B1645" w:rsidTr="00C80369">
        <w:trPr>
          <w:trHeight w:val="354"/>
        </w:trPr>
        <w:tc>
          <w:tcPr>
            <w:tcW w:w="1916" w:type="pct"/>
            <w:shd w:val="clear" w:color="auto" w:fill="auto"/>
            <w:vAlign w:val="center"/>
          </w:tcPr>
          <w:p w14:paraId="06313A62" w14:textId="1D29D988" w:rsidR="00381097" w:rsidRPr="00696D28" w:rsidRDefault="00381097" w:rsidP="00381097">
            <w:pPr>
              <w:spacing w:before="120" w:after="120"/>
              <w:jc w:val="both"/>
              <w:rPr>
                <w:rFonts w:asciiTheme="minorHAnsi" w:hAnsiTheme="minorHAnsi" w:cstheme="minorHAnsi"/>
                <w:sz w:val="20"/>
                <w:szCs w:val="22"/>
              </w:rPr>
            </w:pPr>
            <w:r w:rsidRPr="00696D28">
              <w:rPr>
                <w:rFonts w:asciiTheme="minorHAnsi" w:hAnsiTheme="minorHAnsi" w:cstheme="minorHAnsi"/>
                <w:sz w:val="20"/>
                <w:szCs w:val="22"/>
              </w:rPr>
              <w:t>The practice should undertake a quality improvement review of how they manage patients experiencing a COPD exacerbation.</w:t>
            </w:r>
          </w:p>
          <w:p w14:paraId="29998736" w14:textId="77777777" w:rsidR="00381097" w:rsidRPr="00696D28" w:rsidRDefault="00381097" w:rsidP="00381097">
            <w:pPr>
              <w:spacing w:before="120" w:after="120"/>
              <w:jc w:val="both"/>
              <w:rPr>
                <w:rFonts w:asciiTheme="minorHAnsi" w:hAnsiTheme="minorHAnsi" w:cstheme="minorHAnsi"/>
                <w:sz w:val="20"/>
                <w:szCs w:val="22"/>
              </w:rPr>
            </w:pPr>
            <w:r w:rsidRPr="00696D28">
              <w:rPr>
                <w:rFonts w:asciiTheme="minorHAnsi" w:hAnsiTheme="minorHAnsi" w:cstheme="minorHAnsi"/>
                <w:sz w:val="20"/>
                <w:szCs w:val="22"/>
              </w:rPr>
              <w:t>This will involve reviewing a cohort of COPD patients who had at least 1 exacerbation in the last 12 months (number dependant on Practice list size</w:t>
            </w:r>
            <w:r w:rsidRPr="00696D28">
              <w:rPr>
                <w:sz w:val="20"/>
                <w:szCs w:val="22"/>
              </w:rPr>
              <w:t xml:space="preserve"> </w:t>
            </w:r>
            <w:r w:rsidRPr="00696D28">
              <w:rPr>
                <w:rFonts w:asciiTheme="minorHAnsi" w:hAnsiTheme="minorHAnsi" w:cstheme="minorHAnsi"/>
                <w:sz w:val="20"/>
                <w:szCs w:val="22"/>
              </w:rPr>
              <w:t>and will be specified in the review documentation), carrying out a route cause analysis to identify areas requiring improvement to help minimise future exacerbations and submitting an action plan and final report.</w:t>
            </w:r>
          </w:p>
        </w:tc>
        <w:tc>
          <w:tcPr>
            <w:tcW w:w="1542" w:type="pct"/>
            <w:shd w:val="clear" w:color="auto" w:fill="auto"/>
            <w:vAlign w:val="center"/>
          </w:tcPr>
          <w:p w14:paraId="1743F611" w14:textId="37270BF0" w:rsidR="00381097" w:rsidRPr="00696D28" w:rsidRDefault="00381097" w:rsidP="00381097">
            <w:pPr>
              <w:spacing w:before="120" w:after="120"/>
              <w:jc w:val="both"/>
              <w:rPr>
                <w:rFonts w:asciiTheme="minorHAnsi" w:eastAsiaTheme="minorHAnsi" w:hAnsiTheme="minorHAnsi" w:cstheme="minorBidi"/>
                <w:sz w:val="20"/>
                <w:szCs w:val="22"/>
                <w:vertAlign w:val="superscript"/>
              </w:rPr>
            </w:pPr>
            <w:r w:rsidRPr="00696D28">
              <w:rPr>
                <w:rFonts w:asciiTheme="minorHAnsi" w:eastAsiaTheme="minorHAnsi" w:hAnsiTheme="minorHAnsi" w:cstheme="minorBidi"/>
                <w:sz w:val="20"/>
                <w:szCs w:val="22"/>
              </w:rPr>
              <w:t>COPD exacerbations are the second most common cause of emergency hospital admissions, accounting for 1 in 8 UK hospital admissions.</w:t>
            </w:r>
            <w:r w:rsidRPr="00696D28">
              <w:rPr>
                <w:rFonts w:asciiTheme="minorHAnsi" w:eastAsiaTheme="minorHAnsi" w:hAnsiTheme="minorHAnsi" w:cstheme="minorBidi"/>
                <w:sz w:val="20"/>
                <w:szCs w:val="22"/>
                <w:vertAlign w:val="superscript"/>
              </w:rPr>
              <w:t>2</w:t>
            </w:r>
          </w:p>
          <w:p w14:paraId="25439E54" w14:textId="77777777" w:rsidR="00381097" w:rsidRPr="00696D28" w:rsidRDefault="00381097" w:rsidP="00381097">
            <w:pPr>
              <w:spacing w:before="120" w:after="120"/>
              <w:jc w:val="both"/>
              <w:rPr>
                <w:rFonts w:asciiTheme="minorHAnsi" w:hAnsiTheme="minorHAnsi" w:cstheme="minorHAnsi"/>
                <w:sz w:val="20"/>
                <w:szCs w:val="22"/>
              </w:rPr>
            </w:pPr>
            <w:r w:rsidRPr="00696D28">
              <w:rPr>
                <w:rFonts w:asciiTheme="minorHAnsi" w:hAnsiTheme="minorHAnsi" w:cstheme="minorHAnsi"/>
                <w:sz w:val="20"/>
                <w:szCs w:val="22"/>
              </w:rPr>
              <w:t>Better management of patients post exacerbation, will help to reduce further exacerbations, hospital admissions and have a positive impact on the patient’s quality of life.</w:t>
            </w:r>
          </w:p>
        </w:tc>
        <w:tc>
          <w:tcPr>
            <w:tcW w:w="1542" w:type="pct"/>
          </w:tcPr>
          <w:p w14:paraId="5CE819AD" w14:textId="77777777" w:rsidR="00381097" w:rsidRDefault="00C80369" w:rsidP="00381097">
            <w:pPr>
              <w:spacing w:before="120" w:after="120"/>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 xml:space="preserve">NICE </w:t>
            </w:r>
            <w:r w:rsidRPr="00C80369">
              <w:rPr>
                <w:rFonts w:asciiTheme="minorHAnsi" w:eastAsiaTheme="minorHAnsi" w:hAnsiTheme="minorHAnsi" w:cstheme="minorBidi"/>
                <w:sz w:val="20"/>
                <w:szCs w:val="22"/>
              </w:rPr>
              <w:t>Chronic Obstructive Pulmonary Disease</w:t>
            </w:r>
            <w:r>
              <w:rPr>
                <w:rFonts w:asciiTheme="minorHAnsi" w:eastAsiaTheme="minorHAnsi" w:hAnsiTheme="minorHAnsi" w:cstheme="minorBidi"/>
                <w:sz w:val="20"/>
                <w:szCs w:val="22"/>
              </w:rPr>
              <w:t xml:space="preserve"> guideline </w:t>
            </w:r>
            <w:hyperlink r:id="rId12" w:history="1">
              <w:r w:rsidRPr="001B1FC9">
                <w:rPr>
                  <w:rStyle w:val="Hyperlink"/>
                  <w:rFonts w:asciiTheme="minorHAnsi" w:eastAsiaTheme="minorHAnsi" w:hAnsiTheme="minorHAnsi" w:cstheme="minorBidi"/>
                  <w:sz w:val="20"/>
                  <w:szCs w:val="22"/>
                </w:rPr>
                <w:t>https://www.nice.org.uk/guidance/ng115</w:t>
              </w:r>
            </w:hyperlink>
            <w:r>
              <w:rPr>
                <w:rFonts w:asciiTheme="minorHAnsi" w:eastAsiaTheme="minorHAnsi" w:hAnsiTheme="minorHAnsi" w:cstheme="minorBidi"/>
                <w:sz w:val="20"/>
                <w:szCs w:val="22"/>
              </w:rPr>
              <w:t xml:space="preserve"> </w:t>
            </w:r>
          </w:p>
          <w:p w14:paraId="2ED8AF06" w14:textId="77777777" w:rsidR="00C80369" w:rsidRPr="00C80369" w:rsidRDefault="00C80369" w:rsidP="00381097">
            <w:pPr>
              <w:spacing w:before="120" w:after="120"/>
              <w:jc w:val="both"/>
              <w:rPr>
                <w:rFonts w:asciiTheme="minorHAnsi" w:eastAsiaTheme="minorHAnsi" w:hAnsiTheme="minorHAnsi" w:cstheme="minorBidi"/>
                <w:sz w:val="18"/>
              </w:rPr>
            </w:pPr>
          </w:p>
          <w:p w14:paraId="2CA1FDAE" w14:textId="6122EC17" w:rsidR="00C80369" w:rsidRPr="00C80369" w:rsidRDefault="00C80369" w:rsidP="00C80369">
            <w:pPr>
              <w:jc w:val="both"/>
              <w:rPr>
                <w:rFonts w:ascii="Calibri" w:hAnsi="Calibri" w:cs="Calibri"/>
                <w:color w:val="FF0000"/>
                <w:sz w:val="22"/>
                <w:szCs w:val="22"/>
                <w:lang w:eastAsia="en-GB"/>
              </w:rPr>
            </w:pPr>
            <w:r w:rsidRPr="00C80369">
              <w:rPr>
                <w:rFonts w:ascii="Calibri" w:hAnsi="Calibri" w:cs="Calibri"/>
                <w:sz w:val="20"/>
              </w:rPr>
              <w:t xml:space="preserve">BOB ICB COPD management guideline is currently in the process of being updated </w:t>
            </w:r>
            <w:r w:rsidR="003D162E" w:rsidRPr="00C80369">
              <w:rPr>
                <w:rFonts w:ascii="Calibri" w:hAnsi="Calibri" w:cs="Calibri"/>
                <w:sz w:val="20"/>
              </w:rPr>
              <w:t>and</w:t>
            </w:r>
            <w:r w:rsidRPr="00C80369">
              <w:rPr>
                <w:rFonts w:ascii="Calibri" w:hAnsi="Calibri" w:cs="Calibri"/>
                <w:sz w:val="20"/>
              </w:rPr>
              <w:t xml:space="preserve"> once approved will be available through the Buckinghamshire, Oxfordshire and Berkshire West formulary pages.</w:t>
            </w:r>
          </w:p>
        </w:tc>
      </w:tr>
    </w:tbl>
    <w:p w14:paraId="7DB0073D" w14:textId="5D59692F" w:rsidR="00781F85" w:rsidRDefault="00781F85" w:rsidP="00781F85">
      <w:pPr>
        <w:spacing w:before="120" w:after="120"/>
        <w:rPr>
          <w:rFonts w:asciiTheme="minorHAnsi" w:hAnsiTheme="minorHAnsi" w:cstheme="minorHAnsi"/>
          <w:b/>
          <w:szCs w:val="24"/>
        </w:rPr>
      </w:pPr>
      <w:bookmarkStart w:id="1" w:name="_Hlk161928463"/>
      <w:r w:rsidRPr="009362BE">
        <w:rPr>
          <w:rFonts w:asciiTheme="minorHAnsi" w:hAnsiTheme="minorHAnsi" w:cstheme="minorHAnsi"/>
          <w:b/>
          <w:szCs w:val="24"/>
        </w:rPr>
        <w:t>QI Option 2</w:t>
      </w:r>
      <w:r w:rsidR="007D2D14">
        <w:rPr>
          <w:rFonts w:asciiTheme="minorHAnsi" w:hAnsiTheme="minorHAnsi" w:cstheme="minorHAnsi"/>
          <w:b/>
          <w:szCs w:val="24"/>
        </w:rPr>
        <w:t xml:space="preserve"> – CD </w:t>
      </w:r>
      <w:r w:rsidR="00A721EC">
        <w:rPr>
          <w:rFonts w:asciiTheme="minorHAnsi" w:hAnsiTheme="minorHAnsi" w:cstheme="minorHAnsi"/>
          <w:b/>
          <w:szCs w:val="24"/>
        </w:rPr>
        <w:t>P</w:t>
      </w:r>
      <w:r w:rsidR="007D2D14">
        <w:rPr>
          <w:rFonts w:asciiTheme="minorHAnsi" w:hAnsiTheme="minorHAnsi" w:cstheme="minorHAnsi"/>
          <w:b/>
          <w:szCs w:val="24"/>
        </w:rPr>
        <w:t>rescription Requests</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183"/>
        <w:gridCol w:w="4183"/>
      </w:tblGrid>
      <w:tr w:rsidR="003D162E" w:rsidRPr="00776198" w14:paraId="4E704B41" w14:textId="77777777" w:rsidTr="003D162E">
        <w:trPr>
          <w:trHeight w:val="354"/>
        </w:trPr>
        <w:tc>
          <w:tcPr>
            <w:tcW w:w="1916" w:type="pct"/>
            <w:shd w:val="clear" w:color="auto" w:fill="CCFFFF"/>
            <w:vAlign w:val="center"/>
          </w:tcPr>
          <w:p w14:paraId="6F1D39C6" w14:textId="5EF7BC88" w:rsidR="00710601" w:rsidRPr="00776198" w:rsidRDefault="00710601" w:rsidP="00A2488F">
            <w:pPr>
              <w:jc w:val="center"/>
              <w:rPr>
                <w:rFonts w:asciiTheme="minorHAnsi" w:hAnsiTheme="minorHAnsi" w:cstheme="minorHAnsi"/>
                <w:b/>
                <w:sz w:val="20"/>
                <w:szCs w:val="22"/>
              </w:rPr>
            </w:pPr>
            <w:r w:rsidRPr="00776198">
              <w:rPr>
                <w:rFonts w:asciiTheme="minorHAnsi" w:hAnsiTheme="minorHAnsi" w:cstheme="minorHAnsi"/>
                <w:sz w:val="20"/>
                <w:szCs w:val="22"/>
              </w:rPr>
              <w:br w:type="page"/>
            </w:r>
            <w:r>
              <w:rPr>
                <w:rFonts w:cs="Arial"/>
                <w:b/>
                <w:color w:val="000000"/>
                <w:sz w:val="18"/>
                <w:szCs w:val="22"/>
              </w:rPr>
              <w:t>Patient Safety / Sustainability / Waste</w:t>
            </w:r>
          </w:p>
        </w:tc>
        <w:tc>
          <w:tcPr>
            <w:tcW w:w="1542" w:type="pct"/>
            <w:shd w:val="clear" w:color="auto" w:fill="CCFFFF"/>
            <w:vAlign w:val="center"/>
          </w:tcPr>
          <w:p w14:paraId="4F3E4123" w14:textId="77777777" w:rsidR="00710601" w:rsidRPr="00776198" w:rsidRDefault="00710601" w:rsidP="00A2488F">
            <w:pPr>
              <w:jc w:val="center"/>
              <w:rPr>
                <w:rFonts w:asciiTheme="minorHAnsi" w:hAnsiTheme="minorHAnsi" w:cstheme="minorHAnsi"/>
                <w:b/>
                <w:bCs/>
                <w:sz w:val="20"/>
                <w:szCs w:val="22"/>
              </w:rPr>
            </w:pPr>
            <w:r w:rsidRPr="00776198">
              <w:rPr>
                <w:rFonts w:asciiTheme="minorHAnsi" w:hAnsiTheme="minorHAnsi" w:cstheme="minorHAnsi"/>
                <w:b/>
                <w:bCs/>
                <w:sz w:val="20"/>
                <w:szCs w:val="22"/>
              </w:rPr>
              <w:t>Rationale</w:t>
            </w:r>
          </w:p>
        </w:tc>
        <w:tc>
          <w:tcPr>
            <w:tcW w:w="1542" w:type="pct"/>
            <w:shd w:val="clear" w:color="auto" w:fill="CCFFFF"/>
            <w:vAlign w:val="center"/>
          </w:tcPr>
          <w:p w14:paraId="2255BE3F" w14:textId="77777777" w:rsidR="00710601" w:rsidRPr="00776198" w:rsidRDefault="00710601" w:rsidP="00A2488F">
            <w:pPr>
              <w:jc w:val="center"/>
              <w:rPr>
                <w:rFonts w:asciiTheme="minorHAnsi" w:hAnsiTheme="minorHAnsi" w:cstheme="minorHAnsi"/>
                <w:b/>
                <w:bCs/>
                <w:sz w:val="20"/>
                <w:szCs w:val="22"/>
              </w:rPr>
            </w:pPr>
            <w:r>
              <w:rPr>
                <w:rFonts w:cs="Arial"/>
                <w:b/>
                <w:bCs/>
                <w:color w:val="000000"/>
                <w:sz w:val="18"/>
                <w:szCs w:val="22"/>
              </w:rPr>
              <w:t>Useful resources for Community Pharmacy</w:t>
            </w:r>
          </w:p>
        </w:tc>
      </w:tr>
      <w:tr w:rsidR="003D162E" w:rsidRPr="00696D28" w14:paraId="261EFEE1" w14:textId="77777777" w:rsidTr="003D162E">
        <w:trPr>
          <w:trHeight w:val="354"/>
        </w:trPr>
        <w:tc>
          <w:tcPr>
            <w:tcW w:w="1916" w:type="pct"/>
            <w:shd w:val="clear" w:color="auto" w:fill="auto"/>
            <w:vAlign w:val="center"/>
          </w:tcPr>
          <w:p w14:paraId="29442ECC" w14:textId="77777777" w:rsidR="00710601" w:rsidRPr="00696D28" w:rsidRDefault="00710601" w:rsidP="001D0C1A">
            <w:pPr>
              <w:jc w:val="both"/>
              <w:rPr>
                <w:rFonts w:asciiTheme="minorHAnsi" w:hAnsiTheme="minorHAnsi" w:cstheme="minorHAnsi"/>
                <w:sz w:val="20"/>
                <w:szCs w:val="22"/>
              </w:rPr>
            </w:pPr>
            <w:r w:rsidRPr="00696D28">
              <w:rPr>
                <w:rFonts w:asciiTheme="minorHAnsi" w:hAnsiTheme="minorHAnsi" w:cstheme="minorHAnsi"/>
                <w:sz w:val="20"/>
                <w:szCs w:val="22"/>
              </w:rPr>
              <w:t>The practice should undertake a quality improvement review of how they manage requests for prescriptions of controlled drugs.</w:t>
            </w:r>
          </w:p>
          <w:p w14:paraId="424F0EE5" w14:textId="37C41117" w:rsidR="00710601" w:rsidRPr="00696D28" w:rsidRDefault="00710601" w:rsidP="001D0C1A">
            <w:pPr>
              <w:jc w:val="both"/>
              <w:rPr>
                <w:rFonts w:asciiTheme="minorHAnsi" w:hAnsiTheme="minorHAnsi" w:cstheme="minorHAnsi"/>
                <w:sz w:val="20"/>
                <w:szCs w:val="22"/>
              </w:rPr>
            </w:pPr>
            <w:r w:rsidRPr="00696D28">
              <w:rPr>
                <w:rFonts w:asciiTheme="minorHAnsi" w:hAnsiTheme="minorHAnsi" w:cstheme="minorHAnsi"/>
                <w:sz w:val="20"/>
                <w:szCs w:val="22"/>
              </w:rPr>
              <w:t>This will involve reviewing a cohort of patients who are currently prescribed a controlled drug (number dependant on Practice list size and will be specified in the review documentation). Reviewing the prescribing against set criteria as defined by MOT and submitting an action plan to address any issues identified with the practices repeat prescribing processes.</w:t>
            </w:r>
          </w:p>
        </w:tc>
        <w:tc>
          <w:tcPr>
            <w:tcW w:w="1542" w:type="pct"/>
            <w:shd w:val="clear" w:color="auto" w:fill="auto"/>
            <w:vAlign w:val="center"/>
          </w:tcPr>
          <w:p w14:paraId="696795F6" w14:textId="77777777" w:rsidR="00710601" w:rsidRDefault="00710601" w:rsidP="001D0C1A">
            <w:pPr>
              <w:jc w:val="both"/>
              <w:rPr>
                <w:rFonts w:asciiTheme="minorHAnsi" w:eastAsiaTheme="minorHAnsi" w:hAnsiTheme="minorHAnsi" w:cstheme="minorHAnsi"/>
                <w:sz w:val="20"/>
                <w:szCs w:val="22"/>
              </w:rPr>
            </w:pPr>
            <w:r w:rsidRPr="00696D28">
              <w:rPr>
                <w:rFonts w:asciiTheme="minorHAnsi" w:eastAsiaTheme="minorHAnsi" w:hAnsiTheme="minorHAnsi" w:cstheme="minorHAnsi"/>
                <w:sz w:val="20"/>
                <w:szCs w:val="22"/>
              </w:rPr>
              <w:t xml:space="preserve">Lack of oversight and management of repeat prescribing processes can lead to overprescribing and misuse of medicines, waste which has a significant cost to the NHS, and diversion to illegal supply routes. Controlled drugs should have more stringent controls in place for prescribing as they may pose particular risks of serious harm or may be associated with overuse, misuse or addiction.  </w:t>
            </w:r>
          </w:p>
          <w:p w14:paraId="5AE3A29D" w14:textId="53D51185" w:rsidR="001D0C1A" w:rsidRPr="00696D28" w:rsidRDefault="001D0C1A" w:rsidP="001D0C1A">
            <w:pPr>
              <w:jc w:val="both"/>
              <w:rPr>
                <w:rFonts w:asciiTheme="minorHAnsi" w:hAnsiTheme="minorHAnsi" w:cstheme="minorHAnsi"/>
                <w:sz w:val="20"/>
                <w:szCs w:val="22"/>
              </w:rPr>
            </w:pPr>
          </w:p>
        </w:tc>
        <w:tc>
          <w:tcPr>
            <w:tcW w:w="1542" w:type="pct"/>
          </w:tcPr>
          <w:p w14:paraId="00CECB2D" w14:textId="77777777" w:rsidR="00710601" w:rsidRDefault="001D0C1A" w:rsidP="001D0C1A">
            <w:pPr>
              <w:jc w:val="both"/>
              <w:rPr>
                <w:rFonts w:asciiTheme="minorHAnsi" w:eastAsiaTheme="minorHAnsi" w:hAnsiTheme="minorHAnsi" w:cs="Arial"/>
                <w:sz w:val="20"/>
              </w:rPr>
            </w:pPr>
            <w:r w:rsidRPr="001D0C1A">
              <w:rPr>
                <w:rFonts w:asciiTheme="minorHAnsi" w:eastAsiaTheme="minorHAnsi" w:hAnsiTheme="minorHAnsi" w:cs="Arial"/>
                <w:sz w:val="20"/>
              </w:rPr>
              <w:t xml:space="preserve">This is one of the </w:t>
            </w:r>
            <w:hyperlink r:id="rId13" w:history="1">
              <w:r w:rsidRPr="001D0C1A">
                <w:rPr>
                  <w:rStyle w:val="Hyperlink"/>
                  <w:rFonts w:asciiTheme="minorHAnsi" w:eastAsiaTheme="minorHAnsi" w:hAnsiTheme="minorHAnsi" w:cs="Arial"/>
                  <w:sz w:val="20"/>
                </w:rPr>
                <w:t>national medicines optimisation opportunities</w:t>
              </w:r>
            </w:hyperlink>
            <w:r w:rsidRPr="001D0C1A">
              <w:rPr>
                <w:rFonts w:asciiTheme="minorHAnsi" w:eastAsiaTheme="minorHAnsi" w:hAnsiTheme="minorHAnsi" w:cs="Arial"/>
                <w:sz w:val="20"/>
              </w:rPr>
              <w:t xml:space="preserve"> identified</w:t>
            </w:r>
            <w:r w:rsidR="00A754B0">
              <w:rPr>
                <w:rFonts w:asciiTheme="minorHAnsi" w:eastAsiaTheme="minorHAnsi" w:hAnsiTheme="minorHAnsi" w:cs="Arial"/>
                <w:sz w:val="20"/>
              </w:rPr>
              <w:t xml:space="preserve"> (problematic polypharmacy)</w:t>
            </w:r>
            <w:r w:rsidRPr="001D0C1A">
              <w:rPr>
                <w:rFonts w:asciiTheme="minorHAnsi" w:eastAsiaTheme="minorHAnsi" w:hAnsiTheme="minorHAnsi" w:cs="Arial"/>
                <w:sz w:val="20"/>
              </w:rPr>
              <w:t>.</w:t>
            </w:r>
          </w:p>
          <w:p w14:paraId="67F2C98C" w14:textId="77777777" w:rsidR="003D162E" w:rsidRDefault="003D162E" w:rsidP="001D0C1A">
            <w:pPr>
              <w:jc w:val="both"/>
              <w:rPr>
                <w:rFonts w:asciiTheme="minorHAnsi" w:eastAsiaTheme="minorHAnsi" w:hAnsiTheme="minorHAnsi" w:cs="Arial"/>
                <w:sz w:val="20"/>
              </w:rPr>
            </w:pPr>
          </w:p>
          <w:p w14:paraId="5294AFAB" w14:textId="4C79906C" w:rsidR="003D162E" w:rsidRDefault="00731F65" w:rsidP="001D0C1A">
            <w:pPr>
              <w:jc w:val="both"/>
              <w:rPr>
                <w:rFonts w:asciiTheme="minorHAnsi" w:eastAsiaTheme="minorHAnsi" w:hAnsiTheme="minorHAnsi" w:cs="Arial"/>
                <w:sz w:val="20"/>
              </w:rPr>
            </w:pPr>
            <w:hyperlink r:id="rId14" w:history="1">
              <w:r w:rsidR="003D162E" w:rsidRPr="001B1FC9">
                <w:rPr>
                  <w:rStyle w:val="Hyperlink"/>
                  <w:rFonts w:asciiTheme="minorHAnsi" w:eastAsiaTheme="minorHAnsi" w:hAnsiTheme="minorHAnsi" w:cs="Arial"/>
                  <w:sz w:val="20"/>
                </w:rPr>
                <w:t>https://www.cqc.org.uk/guidance-providers/gps/gp-mythbusters/gp-mythbuster-28-management-controlled-drugs</w:t>
              </w:r>
            </w:hyperlink>
            <w:r w:rsidR="003D162E">
              <w:rPr>
                <w:rFonts w:asciiTheme="minorHAnsi" w:eastAsiaTheme="minorHAnsi" w:hAnsiTheme="minorHAnsi" w:cs="Arial"/>
                <w:sz w:val="20"/>
              </w:rPr>
              <w:t xml:space="preserve">  </w:t>
            </w:r>
          </w:p>
          <w:p w14:paraId="1827B5DA" w14:textId="77777777" w:rsidR="003D162E" w:rsidRDefault="003D162E" w:rsidP="001D0C1A">
            <w:pPr>
              <w:jc w:val="both"/>
              <w:rPr>
                <w:rFonts w:asciiTheme="minorHAnsi" w:eastAsiaTheme="minorHAnsi" w:hAnsiTheme="minorHAnsi" w:cs="Arial"/>
                <w:sz w:val="20"/>
                <w:szCs w:val="22"/>
              </w:rPr>
            </w:pPr>
          </w:p>
          <w:p w14:paraId="69E2352D" w14:textId="6EA66A74" w:rsidR="003D162E" w:rsidRPr="003D162E" w:rsidRDefault="003D162E" w:rsidP="001D0C1A">
            <w:pPr>
              <w:jc w:val="both"/>
              <w:rPr>
                <w:rFonts w:ascii="Calibri" w:hAnsi="Calibri" w:cs="Calibri"/>
                <w:color w:val="000000"/>
                <w:sz w:val="20"/>
                <w:lang w:eastAsia="en-GB"/>
              </w:rPr>
            </w:pPr>
            <w:r w:rsidRPr="003D162E">
              <w:rPr>
                <w:rFonts w:ascii="Calibri" w:hAnsi="Calibri" w:cs="Calibri"/>
                <w:color w:val="000000"/>
                <w:sz w:val="20"/>
              </w:rPr>
              <w:t>The RPS/RCGP are developing a Repeat Prescribing Toolkit which is due to be launched Summer 2024</w:t>
            </w:r>
            <w:r>
              <w:rPr>
                <w:rFonts w:ascii="Calibri" w:hAnsi="Calibri" w:cs="Calibri"/>
                <w:color w:val="000000"/>
                <w:sz w:val="20"/>
              </w:rPr>
              <w:t>.  Details of this will be circulated in the BOB ICB Medicines Optimisation Bulletin when available.</w:t>
            </w:r>
            <w:r w:rsidRPr="003D162E">
              <w:rPr>
                <w:rFonts w:ascii="Calibri" w:hAnsi="Calibri" w:cs="Calibri"/>
                <w:color w:val="000000"/>
                <w:sz w:val="20"/>
              </w:rPr>
              <w:t xml:space="preserve"> </w:t>
            </w:r>
          </w:p>
        </w:tc>
      </w:tr>
    </w:tbl>
    <w:p w14:paraId="30FE5566" w14:textId="77777777" w:rsidR="00F35A73" w:rsidRPr="00710601" w:rsidRDefault="00F35A73" w:rsidP="00710601">
      <w:pPr>
        <w:rPr>
          <w:rFonts w:asciiTheme="minorHAnsi" w:hAnsiTheme="minorHAnsi" w:cstheme="minorHAnsi"/>
          <w:b/>
          <w:sz w:val="16"/>
          <w:szCs w:val="12"/>
        </w:rPr>
      </w:pPr>
    </w:p>
    <w:p w14:paraId="6018DE32" w14:textId="77777777" w:rsidR="001840CE" w:rsidRDefault="001840CE" w:rsidP="007F6D13">
      <w:pPr>
        <w:rPr>
          <w:rFonts w:asciiTheme="minorHAnsi" w:hAnsiTheme="minorHAnsi" w:cstheme="minorHAnsi"/>
          <w:b/>
          <w:sz w:val="32"/>
          <w:szCs w:val="32"/>
        </w:rPr>
      </w:pPr>
    </w:p>
    <w:p w14:paraId="69C1C8F4" w14:textId="77777777" w:rsidR="001840CE" w:rsidRDefault="001840CE" w:rsidP="007F6D13">
      <w:pPr>
        <w:rPr>
          <w:rFonts w:asciiTheme="minorHAnsi" w:hAnsiTheme="minorHAnsi" w:cstheme="minorHAnsi"/>
          <w:b/>
          <w:sz w:val="32"/>
          <w:szCs w:val="32"/>
        </w:rPr>
      </w:pPr>
    </w:p>
    <w:p w14:paraId="265D0AAC" w14:textId="77777777" w:rsidR="001840CE" w:rsidRDefault="001840CE" w:rsidP="007F6D13">
      <w:pPr>
        <w:rPr>
          <w:rFonts w:asciiTheme="minorHAnsi" w:hAnsiTheme="minorHAnsi" w:cstheme="minorHAnsi"/>
          <w:b/>
          <w:sz w:val="32"/>
          <w:szCs w:val="32"/>
        </w:rPr>
      </w:pPr>
    </w:p>
    <w:p w14:paraId="2DED0201" w14:textId="65AE6906" w:rsidR="007F6D13" w:rsidRPr="007F374B" w:rsidRDefault="001D17E1" w:rsidP="007F6D13">
      <w:pPr>
        <w:rPr>
          <w:rFonts w:asciiTheme="minorHAnsi" w:hAnsiTheme="minorHAnsi" w:cstheme="minorHAnsi"/>
          <w:b/>
          <w:sz w:val="32"/>
          <w:szCs w:val="32"/>
        </w:rPr>
      </w:pPr>
      <w:r w:rsidRPr="001D17E1">
        <w:rPr>
          <w:rFonts w:asciiTheme="minorHAnsi" w:hAnsiTheme="minorHAnsi" w:cstheme="minorHAnsi"/>
          <w:b/>
          <w:sz w:val="32"/>
          <w:szCs w:val="32"/>
        </w:rPr>
        <w:lastRenderedPageBreak/>
        <w:t>Quality and Safety targets</w:t>
      </w:r>
      <w:bookmarkEnd w:id="1"/>
      <w:r w:rsidR="007F374B">
        <w:rPr>
          <w:rFonts w:asciiTheme="minorHAnsi" w:hAnsiTheme="minorHAnsi" w:cstheme="minorHAnsi"/>
          <w:b/>
          <w:sz w:val="32"/>
          <w:szCs w:val="32"/>
        </w:rPr>
        <w:t xml:space="preserve">: </w:t>
      </w:r>
      <w:r w:rsidR="007F6D13" w:rsidRPr="00B72191">
        <w:rPr>
          <w:rFonts w:asciiTheme="minorHAnsi" w:hAnsiTheme="minorHAnsi" w:cstheme="minorHAnsi"/>
          <w:bCs/>
          <w:color w:val="FF0000"/>
          <w:szCs w:val="24"/>
        </w:rPr>
        <w:t xml:space="preserve">The practice should </w:t>
      </w:r>
      <w:r w:rsidRPr="00B72191">
        <w:rPr>
          <w:rFonts w:asciiTheme="minorHAnsi" w:hAnsiTheme="minorHAnsi" w:cstheme="minorHAnsi"/>
          <w:bCs/>
          <w:color w:val="FF0000"/>
          <w:szCs w:val="24"/>
        </w:rPr>
        <w:t xml:space="preserve">participate in </w:t>
      </w:r>
      <w:r w:rsidR="00B72191" w:rsidRPr="00B72191">
        <w:rPr>
          <w:rFonts w:asciiTheme="minorHAnsi" w:hAnsiTheme="minorHAnsi" w:cstheme="minorHAnsi"/>
          <w:b/>
          <w:color w:val="FF0000"/>
          <w:szCs w:val="24"/>
          <w:u w:val="single"/>
        </w:rPr>
        <w:t>FOUR</w:t>
      </w:r>
      <w:r w:rsidR="007F6D13" w:rsidRPr="00B72191">
        <w:rPr>
          <w:rFonts w:asciiTheme="minorHAnsi" w:hAnsiTheme="minorHAnsi" w:cstheme="minorHAnsi"/>
          <w:b/>
          <w:color w:val="FF0000"/>
          <w:szCs w:val="24"/>
        </w:rPr>
        <w:t xml:space="preserve"> </w:t>
      </w:r>
      <w:r w:rsidR="007F6D13" w:rsidRPr="00B72191">
        <w:rPr>
          <w:rFonts w:asciiTheme="minorHAnsi" w:hAnsiTheme="minorHAnsi" w:cstheme="minorHAnsi"/>
          <w:bCs/>
          <w:color w:val="FF0000"/>
          <w:szCs w:val="24"/>
        </w:rPr>
        <w:t xml:space="preserve">Quality </w:t>
      </w:r>
      <w:r w:rsidRPr="00B72191">
        <w:rPr>
          <w:rFonts w:asciiTheme="minorHAnsi" w:hAnsiTheme="minorHAnsi" w:cstheme="minorHAnsi"/>
          <w:bCs/>
          <w:color w:val="FF0000"/>
          <w:szCs w:val="24"/>
        </w:rPr>
        <w:t xml:space="preserve">and Safety </w:t>
      </w:r>
      <w:r w:rsidR="007F6D13" w:rsidRPr="00B72191">
        <w:rPr>
          <w:rFonts w:asciiTheme="minorHAnsi" w:hAnsiTheme="minorHAnsi" w:cstheme="minorHAnsi"/>
          <w:bCs/>
          <w:color w:val="FF0000"/>
          <w:szCs w:val="24"/>
        </w:rPr>
        <w:t xml:space="preserve">Targets </w:t>
      </w:r>
      <w:r w:rsidRPr="00B72191">
        <w:rPr>
          <w:rFonts w:asciiTheme="minorHAnsi" w:hAnsiTheme="minorHAnsi" w:cstheme="minorHAnsi"/>
          <w:bCs/>
          <w:color w:val="FF0000"/>
          <w:szCs w:val="24"/>
        </w:rPr>
        <w:t>from the option</w:t>
      </w:r>
      <w:r w:rsidR="00B72191">
        <w:rPr>
          <w:rFonts w:asciiTheme="minorHAnsi" w:hAnsiTheme="minorHAnsi" w:cstheme="minorHAnsi"/>
          <w:bCs/>
          <w:color w:val="FF0000"/>
          <w:szCs w:val="24"/>
        </w:rPr>
        <w:t>s</w:t>
      </w:r>
      <w:r w:rsidRPr="00B72191">
        <w:rPr>
          <w:rFonts w:asciiTheme="minorHAnsi" w:hAnsiTheme="minorHAnsi" w:cstheme="minorHAnsi"/>
          <w:bCs/>
          <w:color w:val="FF0000"/>
          <w:szCs w:val="24"/>
        </w:rPr>
        <w:t xml:space="preserve"> listed below.</w:t>
      </w:r>
      <w:r w:rsidR="007F6D13" w:rsidRPr="00B72191">
        <w:rPr>
          <w:rFonts w:asciiTheme="minorHAnsi" w:hAnsiTheme="minorHAnsi" w:cstheme="minorHAnsi"/>
          <w:bCs/>
          <w:color w:val="FF0000"/>
          <w:szCs w:val="24"/>
        </w:rPr>
        <w:t xml:space="preserve"> Practices cannot select a target where there are no patients identified.</w:t>
      </w:r>
    </w:p>
    <w:p w14:paraId="66DE9BF8" w14:textId="09845CE5" w:rsidR="007F6D13" w:rsidRDefault="00B56FBD" w:rsidP="00AA748F">
      <w:pPr>
        <w:spacing w:after="120"/>
        <w:rPr>
          <w:rFonts w:asciiTheme="minorHAnsi" w:hAnsiTheme="minorHAnsi" w:cstheme="minorHAnsi"/>
          <w:b/>
          <w:sz w:val="28"/>
          <w:szCs w:val="28"/>
        </w:rPr>
      </w:pPr>
      <w:bookmarkStart w:id="2" w:name="_Hlk161929387"/>
      <w:r w:rsidRPr="00646D58">
        <w:rPr>
          <w:rFonts w:asciiTheme="minorHAnsi" w:hAnsiTheme="minorHAnsi" w:cstheme="minorHAnsi"/>
          <w:b/>
          <w:sz w:val="28"/>
          <w:szCs w:val="28"/>
        </w:rPr>
        <w:t xml:space="preserve">Q&amp;S </w:t>
      </w:r>
      <w:r w:rsidR="007F6D13" w:rsidRPr="00646D58">
        <w:rPr>
          <w:rFonts w:asciiTheme="minorHAnsi" w:hAnsiTheme="minorHAnsi" w:cstheme="minorHAnsi"/>
          <w:b/>
          <w:sz w:val="28"/>
          <w:szCs w:val="28"/>
        </w:rPr>
        <w:t>Option 1</w:t>
      </w:r>
      <w:r w:rsidR="007D2D14">
        <w:rPr>
          <w:rFonts w:asciiTheme="minorHAnsi" w:hAnsiTheme="minorHAnsi" w:cstheme="minorHAnsi"/>
          <w:b/>
          <w:sz w:val="28"/>
          <w:szCs w:val="28"/>
        </w:rPr>
        <w:t xml:space="preserve"> </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4"/>
        <w:gridCol w:w="4463"/>
        <w:gridCol w:w="4208"/>
      </w:tblGrid>
      <w:tr w:rsidR="007A1ECE" w:rsidRPr="00776198" w14:paraId="1A12A82B" w14:textId="77777777" w:rsidTr="001840CE">
        <w:trPr>
          <w:trHeight w:val="354"/>
        </w:trPr>
        <w:tc>
          <w:tcPr>
            <w:tcW w:w="1804" w:type="pct"/>
            <w:shd w:val="clear" w:color="auto" w:fill="CCFFFF"/>
            <w:vAlign w:val="center"/>
          </w:tcPr>
          <w:p w14:paraId="0CF892C3" w14:textId="40F5E1EB" w:rsidR="00710601" w:rsidRPr="00776198" w:rsidRDefault="00710601" w:rsidP="00A2488F">
            <w:pPr>
              <w:jc w:val="center"/>
              <w:rPr>
                <w:rFonts w:asciiTheme="minorHAnsi" w:hAnsiTheme="minorHAnsi" w:cstheme="minorHAnsi"/>
                <w:b/>
                <w:sz w:val="20"/>
                <w:szCs w:val="22"/>
              </w:rPr>
            </w:pPr>
            <w:r w:rsidRPr="00776198">
              <w:rPr>
                <w:rFonts w:asciiTheme="minorHAnsi" w:hAnsiTheme="minorHAnsi" w:cstheme="minorHAnsi"/>
                <w:sz w:val="20"/>
                <w:szCs w:val="22"/>
              </w:rPr>
              <w:br w:type="page"/>
            </w:r>
            <w:r>
              <w:rPr>
                <w:rFonts w:asciiTheme="minorHAnsi" w:hAnsiTheme="minorHAnsi" w:cstheme="minorHAnsi"/>
                <w:b/>
                <w:color w:val="000000"/>
                <w:sz w:val="20"/>
                <w:szCs w:val="22"/>
              </w:rPr>
              <w:t>Cardiovascular Disease</w:t>
            </w:r>
          </w:p>
        </w:tc>
        <w:tc>
          <w:tcPr>
            <w:tcW w:w="1645" w:type="pct"/>
            <w:shd w:val="clear" w:color="auto" w:fill="CCFFFF"/>
            <w:vAlign w:val="center"/>
          </w:tcPr>
          <w:p w14:paraId="372300CE" w14:textId="77777777" w:rsidR="00710601" w:rsidRPr="00776198" w:rsidRDefault="00710601" w:rsidP="00A2488F">
            <w:pPr>
              <w:jc w:val="center"/>
              <w:rPr>
                <w:rFonts w:asciiTheme="minorHAnsi" w:hAnsiTheme="minorHAnsi" w:cstheme="minorHAnsi"/>
                <w:b/>
                <w:bCs/>
                <w:sz w:val="20"/>
                <w:szCs w:val="22"/>
              </w:rPr>
            </w:pPr>
            <w:r w:rsidRPr="00776198">
              <w:rPr>
                <w:rFonts w:asciiTheme="minorHAnsi" w:hAnsiTheme="minorHAnsi" w:cstheme="minorHAnsi"/>
                <w:b/>
                <w:bCs/>
                <w:sz w:val="20"/>
                <w:szCs w:val="22"/>
              </w:rPr>
              <w:t>Rationale</w:t>
            </w:r>
          </w:p>
        </w:tc>
        <w:tc>
          <w:tcPr>
            <w:tcW w:w="1551" w:type="pct"/>
            <w:shd w:val="clear" w:color="auto" w:fill="CCFFFF"/>
            <w:vAlign w:val="center"/>
          </w:tcPr>
          <w:p w14:paraId="54E2C0FE" w14:textId="77777777" w:rsidR="00710601" w:rsidRPr="00776198" w:rsidRDefault="00710601" w:rsidP="00A2488F">
            <w:pPr>
              <w:jc w:val="center"/>
              <w:rPr>
                <w:rFonts w:asciiTheme="minorHAnsi" w:hAnsiTheme="minorHAnsi" w:cstheme="minorHAnsi"/>
                <w:b/>
                <w:bCs/>
                <w:sz w:val="20"/>
                <w:szCs w:val="22"/>
              </w:rPr>
            </w:pPr>
            <w:r>
              <w:rPr>
                <w:rFonts w:cs="Arial"/>
                <w:b/>
                <w:bCs/>
                <w:color w:val="000000"/>
                <w:sz w:val="18"/>
                <w:szCs w:val="22"/>
              </w:rPr>
              <w:t>Useful resources for Community Pharmacy</w:t>
            </w:r>
          </w:p>
        </w:tc>
      </w:tr>
      <w:tr w:rsidR="001D0C1A" w:rsidRPr="001D0C1A" w14:paraId="57E3F249" w14:textId="77777777" w:rsidTr="001840CE">
        <w:trPr>
          <w:trHeight w:val="354"/>
        </w:trPr>
        <w:tc>
          <w:tcPr>
            <w:tcW w:w="1804" w:type="pct"/>
            <w:shd w:val="clear" w:color="auto" w:fill="auto"/>
            <w:vAlign w:val="center"/>
          </w:tcPr>
          <w:p w14:paraId="4321FE37" w14:textId="77777777" w:rsidR="00710601" w:rsidRPr="001D0C1A" w:rsidRDefault="00710601" w:rsidP="001D0C1A">
            <w:pPr>
              <w:jc w:val="both"/>
              <w:rPr>
                <w:rFonts w:ascii="Calibri" w:hAnsi="Calibri"/>
                <w:sz w:val="20"/>
              </w:rPr>
            </w:pPr>
            <w:r w:rsidRPr="001D0C1A">
              <w:rPr>
                <w:rFonts w:ascii="Calibri" w:hAnsi="Calibri"/>
                <w:sz w:val="20"/>
              </w:rPr>
              <w:t xml:space="preserve">Identification of primary prevention patients aged 18-75 with existing Chronic Kidney Disease stage 3 (CKD3) coded who are not currently prescribed a lipid lowering agent.  </w:t>
            </w:r>
          </w:p>
          <w:p w14:paraId="5F8FC57C" w14:textId="0A22616B" w:rsidR="00710601" w:rsidRPr="001D0C1A" w:rsidRDefault="00710601" w:rsidP="001D0C1A">
            <w:pPr>
              <w:spacing w:before="120"/>
              <w:jc w:val="both"/>
              <w:rPr>
                <w:rFonts w:asciiTheme="minorHAnsi" w:hAnsiTheme="minorHAnsi" w:cstheme="minorHAnsi"/>
                <w:sz w:val="20"/>
              </w:rPr>
            </w:pPr>
            <w:r w:rsidRPr="001D0C1A">
              <w:rPr>
                <w:rFonts w:ascii="Calibri" w:hAnsi="Calibri"/>
                <w:sz w:val="20"/>
              </w:rPr>
              <w:t>Practices should review the patients and consider initiating a cost-effective, evidence-based lipid lowering agent, where clinically appropriate.</w:t>
            </w:r>
          </w:p>
        </w:tc>
        <w:tc>
          <w:tcPr>
            <w:tcW w:w="1645" w:type="pct"/>
            <w:shd w:val="clear" w:color="auto" w:fill="auto"/>
            <w:vAlign w:val="center"/>
          </w:tcPr>
          <w:p w14:paraId="25FB93EE" w14:textId="61661186" w:rsidR="00710601" w:rsidRPr="001D0C1A" w:rsidRDefault="00710601" w:rsidP="001D0C1A">
            <w:pPr>
              <w:spacing w:before="120"/>
              <w:jc w:val="both"/>
              <w:rPr>
                <w:rFonts w:asciiTheme="minorHAnsi" w:eastAsiaTheme="minorHAnsi" w:hAnsiTheme="minorHAnsi" w:cs="Arial"/>
                <w:sz w:val="20"/>
              </w:rPr>
            </w:pPr>
            <w:r w:rsidRPr="001D0C1A">
              <w:rPr>
                <w:rFonts w:asciiTheme="minorHAnsi" w:eastAsiaTheme="minorHAnsi" w:hAnsiTheme="minorHAnsi" w:cs="Arial"/>
                <w:sz w:val="20"/>
              </w:rPr>
              <w:t xml:space="preserve">The </w:t>
            </w:r>
            <w:hyperlink r:id="rId15" w:history="1">
              <w:r w:rsidRPr="001D0C1A">
                <w:rPr>
                  <w:rFonts w:asciiTheme="minorHAnsi" w:eastAsiaTheme="minorHAnsi" w:hAnsiTheme="minorHAnsi" w:cs="Arial"/>
                  <w:color w:val="0000FF" w:themeColor="hyperlink"/>
                  <w:sz w:val="20"/>
                  <w:u w:val="single"/>
                </w:rPr>
                <w:t>NHS Long Term Plan</w:t>
              </w:r>
            </w:hyperlink>
            <w:r w:rsidRPr="001D0C1A">
              <w:rPr>
                <w:rFonts w:asciiTheme="minorHAnsi" w:eastAsiaTheme="minorHAnsi" w:hAnsiTheme="minorHAnsi" w:cs="Arial"/>
                <w:sz w:val="20"/>
                <w:vertAlign w:val="superscript"/>
              </w:rPr>
              <w:t>3</w:t>
            </w:r>
            <w:r w:rsidRPr="001D0C1A">
              <w:rPr>
                <w:rFonts w:asciiTheme="minorHAnsi" w:eastAsiaTheme="minorHAnsi" w:hAnsiTheme="minorHAnsi" w:cs="Arial"/>
                <w:sz w:val="20"/>
              </w:rPr>
              <w:t xml:space="preserve"> identifies cardiovascular disease as a clinical priority, and the single biggest condition where lives can be saved by the NHS over the next 10 years.</w:t>
            </w:r>
            <w:r w:rsidR="007A1ECE" w:rsidRPr="001D0C1A">
              <w:rPr>
                <w:rFonts w:asciiTheme="minorHAnsi" w:eastAsiaTheme="minorHAnsi" w:hAnsiTheme="minorHAnsi" w:cs="Arial"/>
                <w:sz w:val="20"/>
              </w:rPr>
              <w:t xml:space="preserve">  </w:t>
            </w:r>
          </w:p>
          <w:p w14:paraId="299810E5" w14:textId="6364E2FC" w:rsidR="00710601" w:rsidRPr="001D0C1A" w:rsidRDefault="00710601" w:rsidP="001D0C1A">
            <w:pPr>
              <w:spacing w:before="120"/>
              <w:jc w:val="both"/>
              <w:rPr>
                <w:rFonts w:asciiTheme="minorHAnsi" w:hAnsiTheme="minorHAnsi" w:cstheme="minorHAnsi"/>
                <w:sz w:val="20"/>
              </w:rPr>
            </w:pPr>
            <w:r w:rsidRPr="001D0C1A">
              <w:rPr>
                <w:rFonts w:asciiTheme="minorHAnsi" w:eastAsiaTheme="minorHAnsi" w:hAnsiTheme="minorHAnsi" w:cs="Arial"/>
                <w:sz w:val="20"/>
              </w:rPr>
              <w:t xml:space="preserve">BOB ICB is below the national average for </w:t>
            </w:r>
            <w:r w:rsidR="00A63FEA" w:rsidRPr="001D0C1A">
              <w:rPr>
                <w:rFonts w:asciiTheme="minorHAnsi" w:eastAsiaTheme="minorHAnsi" w:hAnsiTheme="minorHAnsi" w:cs="Arial"/>
                <w:sz w:val="20"/>
              </w:rPr>
              <w:t>p</w:t>
            </w:r>
            <w:r w:rsidRPr="001D0C1A">
              <w:rPr>
                <w:rFonts w:asciiTheme="minorHAnsi" w:eastAsiaTheme="minorHAnsi" w:hAnsiTheme="minorHAnsi" w:cs="Arial"/>
                <w:sz w:val="20"/>
              </w:rPr>
              <w:t xml:space="preserve">ercentage of patients aged 18 and over with GP recorded CKD (G3a to G5), who are currently treated with lipid lowering therapy as shown on the </w:t>
            </w:r>
            <w:hyperlink r:id="rId16" w:history="1">
              <w:r w:rsidRPr="001D0C1A">
                <w:rPr>
                  <w:rStyle w:val="Hyperlink"/>
                  <w:rFonts w:asciiTheme="minorHAnsi" w:eastAsiaTheme="minorHAnsi" w:hAnsiTheme="minorHAnsi" w:cs="Arial"/>
                  <w:sz w:val="20"/>
                </w:rPr>
                <w:t>CVD Prevent</w:t>
              </w:r>
            </w:hyperlink>
            <w:r w:rsidRPr="001D0C1A">
              <w:rPr>
                <w:rFonts w:asciiTheme="minorHAnsi" w:eastAsiaTheme="minorHAnsi" w:hAnsiTheme="minorHAnsi" w:cs="Arial"/>
                <w:sz w:val="20"/>
              </w:rPr>
              <w:t xml:space="preserve"> treatment indicator</w:t>
            </w:r>
            <w:r w:rsidRPr="001D0C1A">
              <w:rPr>
                <w:rFonts w:asciiTheme="minorHAnsi" w:eastAsiaTheme="minorHAnsi" w:hAnsiTheme="minorHAnsi" w:cs="Arial"/>
                <w:sz w:val="20"/>
                <w:vertAlign w:val="superscript"/>
              </w:rPr>
              <w:t>4</w:t>
            </w:r>
            <w:r w:rsidRPr="001D0C1A">
              <w:rPr>
                <w:rFonts w:asciiTheme="minorHAnsi" w:eastAsiaTheme="minorHAnsi" w:hAnsiTheme="minorHAnsi" w:cs="Arial"/>
                <w:sz w:val="20"/>
              </w:rPr>
              <w:t>.</w:t>
            </w:r>
          </w:p>
        </w:tc>
        <w:tc>
          <w:tcPr>
            <w:tcW w:w="1551" w:type="pct"/>
          </w:tcPr>
          <w:p w14:paraId="2BA1494D" w14:textId="7338D009" w:rsidR="00710601" w:rsidRPr="001D0C1A" w:rsidRDefault="00731F65" w:rsidP="001D0C1A">
            <w:pPr>
              <w:jc w:val="both"/>
              <w:rPr>
                <w:rFonts w:asciiTheme="minorHAnsi" w:eastAsiaTheme="minorHAnsi" w:hAnsiTheme="minorHAnsi" w:cs="Arial"/>
                <w:sz w:val="20"/>
              </w:rPr>
            </w:pPr>
            <w:hyperlink r:id="rId17" w:history="1">
              <w:r w:rsidR="00A63FEA" w:rsidRPr="001D0C1A">
                <w:rPr>
                  <w:rStyle w:val="Hyperlink"/>
                  <w:rFonts w:asciiTheme="minorHAnsi" w:eastAsiaTheme="minorHAnsi" w:hAnsiTheme="minorHAnsi" w:cstheme="minorBidi"/>
                  <w:sz w:val="20"/>
                </w:rPr>
                <w:t>https://www.england.nhs.uk/aac/publication/summary-of-national-guidance-for-lipid-management/</w:t>
              </w:r>
            </w:hyperlink>
            <w:r w:rsidR="00696D28" w:rsidRPr="001D0C1A">
              <w:rPr>
                <w:rFonts w:asciiTheme="minorHAnsi" w:eastAsiaTheme="minorHAnsi" w:hAnsiTheme="minorHAnsi" w:cstheme="minorBidi"/>
                <w:sz w:val="20"/>
              </w:rPr>
              <w:t xml:space="preserve"> - </w:t>
            </w:r>
            <w:r w:rsidR="00A63FEA" w:rsidRPr="001D0C1A">
              <w:rPr>
                <w:rFonts w:asciiTheme="minorHAnsi" w:eastAsiaTheme="minorHAnsi" w:hAnsiTheme="minorHAnsi" w:cstheme="minorBidi"/>
                <w:sz w:val="20"/>
              </w:rPr>
              <w:t>March 202</w:t>
            </w:r>
            <w:r w:rsidR="00696D28" w:rsidRPr="001D0C1A">
              <w:rPr>
                <w:rFonts w:asciiTheme="minorHAnsi" w:eastAsiaTheme="minorHAnsi" w:hAnsiTheme="minorHAnsi" w:cstheme="minorBidi"/>
                <w:sz w:val="20"/>
              </w:rPr>
              <w:t xml:space="preserve">4: </w:t>
            </w:r>
            <w:r w:rsidR="00696D28" w:rsidRPr="001D0C1A">
              <w:rPr>
                <w:rFonts w:asciiTheme="minorHAnsi" w:eastAsiaTheme="minorHAnsi" w:hAnsiTheme="minorHAnsi" w:cs="Arial"/>
                <w:sz w:val="20"/>
              </w:rPr>
              <w:t xml:space="preserve">A summary of national guidance for lipid management for prevention of cardiovascular disease (CVD), updated to take account of </w:t>
            </w:r>
            <w:hyperlink r:id="rId18" w:history="1">
              <w:r w:rsidR="007A1ECE" w:rsidRPr="001D0C1A">
                <w:rPr>
                  <w:rStyle w:val="Hyperlink"/>
                  <w:rFonts w:asciiTheme="minorHAnsi" w:eastAsiaTheme="minorHAnsi" w:hAnsiTheme="minorHAnsi" w:cs="Arial"/>
                  <w:sz w:val="20"/>
                </w:rPr>
                <w:t xml:space="preserve">NICE NG238 </w:t>
              </w:r>
            </w:hyperlink>
            <w:r w:rsidR="007A1ECE" w:rsidRPr="001D0C1A">
              <w:rPr>
                <w:rFonts w:asciiTheme="minorHAnsi" w:eastAsiaTheme="minorHAnsi" w:hAnsiTheme="minorHAnsi" w:cs="Arial"/>
                <w:sz w:val="20"/>
              </w:rPr>
              <w:t>December 2023 guidance.</w:t>
            </w:r>
          </w:p>
          <w:p w14:paraId="49D2C657" w14:textId="77777777" w:rsidR="00696D28" w:rsidRPr="001D0C1A" w:rsidRDefault="00696D28" w:rsidP="001D0C1A">
            <w:pPr>
              <w:jc w:val="both"/>
              <w:rPr>
                <w:rFonts w:asciiTheme="minorHAnsi" w:eastAsiaTheme="minorHAnsi" w:hAnsiTheme="minorHAnsi" w:cs="Arial"/>
                <w:sz w:val="20"/>
              </w:rPr>
            </w:pPr>
          </w:p>
          <w:p w14:paraId="42AE3797" w14:textId="77777777" w:rsidR="001D0C1A" w:rsidRDefault="00731F65" w:rsidP="001D0C1A">
            <w:pPr>
              <w:jc w:val="both"/>
              <w:rPr>
                <w:rFonts w:asciiTheme="minorHAnsi" w:eastAsiaTheme="minorHAnsi" w:hAnsiTheme="minorHAnsi" w:cstheme="minorBidi"/>
                <w:sz w:val="20"/>
              </w:rPr>
            </w:pPr>
            <w:hyperlink r:id="rId19" w:history="1">
              <w:r w:rsidR="00696D28" w:rsidRPr="001D0C1A">
                <w:rPr>
                  <w:rStyle w:val="Hyperlink"/>
                  <w:rFonts w:asciiTheme="minorHAnsi" w:eastAsiaTheme="minorHAnsi" w:hAnsiTheme="minorHAnsi" w:cstheme="minorBidi"/>
                  <w:sz w:val="20"/>
                </w:rPr>
                <w:t>https://www.england.nhs.uk/aac/publication/statin-intolerance-pathway/</w:t>
              </w:r>
            </w:hyperlink>
            <w:r w:rsidR="00696D28" w:rsidRPr="001D0C1A">
              <w:rPr>
                <w:rFonts w:asciiTheme="minorHAnsi" w:eastAsiaTheme="minorHAnsi" w:hAnsiTheme="minorHAnsi" w:cstheme="minorBidi"/>
                <w:sz w:val="20"/>
              </w:rPr>
              <w:t xml:space="preserve"> </w:t>
            </w:r>
          </w:p>
          <w:p w14:paraId="3D460271" w14:textId="77777777" w:rsidR="001D0C1A" w:rsidRDefault="001D0C1A" w:rsidP="001D0C1A">
            <w:pPr>
              <w:jc w:val="both"/>
              <w:rPr>
                <w:rFonts w:asciiTheme="minorHAnsi" w:eastAsiaTheme="minorHAnsi" w:hAnsiTheme="minorHAnsi" w:cstheme="minorBidi"/>
                <w:sz w:val="20"/>
              </w:rPr>
            </w:pPr>
          </w:p>
          <w:p w14:paraId="49CCFBC8" w14:textId="309773E6" w:rsidR="00696D28" w:rsidRPr="001D0C1A" w:rsidRDefault="001D0C1A" w:rsidP="001D0C1A">
            <w:pPr>
              <w:jc w:val="both"/>
              <w:rPr>
                <w:rFonts w:asciiTheme="minorHAnsi" w:eastAsiaTheme="minorHAnsi" w:hAnsiTheme="minorHAnsi" w:cstheme="minorBidi"/>
                <w:sz w:val="20"/>
              </w:rPr>
            </w:pPr>
            <w:r w:rsidRPr="001D0C1A">
              <w:rPr>
                <w:rFonts w:asciiTheme="minorHAnsi" w:eastAsiaTheme="minorHAnsi" w:hAnsiTheme="minorHAnsi" w:cs="Arial"/>
                <w:sz w:val="20"/>
              </w:rPr>
              <w:t xml:space="preserve">This is one of the </w:t>
            </w:r>
            <w:hyperlink r:id="rId20" w:history="1">
              <w:r w:rsidRPr="001D0C1A">
                <w:rPr>
                  <w:rStyle w:val="Hyperlink"/>
                  <w:rFonts w:asciiTheme="minorHAnsi" w:eastAsiaTheme="minorHAnsi" w:hAnsiTheme="minorHAnsi" w:cs="Arial"/>
                  <w:sz w:val="20"/>
                </w:rPr>
                <w:t>national medicines optimisation opportunities</w:t>
              </w:r>
            </w:hyperlink>
            <w:r w:rsidRPr="001D0C1A">
              <w:rPr>
                <w:rFonts w:asciiTheme="minorHAnsi" w:eastAsiaTheme="minorHAnsi" w:hAnsiTheme="minorHAnsi" w:cs="Arial"/>
                <w:sz w:val="20"/>
              </w:rPr>
              <w:t xml:space="preserve"> identified.</w:t>
            </w:r>
          </w:p>
        </w:tc>
      </w:tr>
      <w:bookmarkEnd w:id="2"/>
    </w:tbl>
    <w:p w14:paraId="37C7516C" w14:textId="77777777" w:rsidR="0055778A" w:rsidRPr="00710601" w:rsidRDefault="0055778A" w:rsidP="00710601">
      <w:pPr>
        <w:rPr>
          <w:rFonts w:asciiTheme="minorHAnsi" w:hAnsiTheme="minorHAnsi" w:cstheme="minorHAnsi"/>
          <w:b/>
          <w:sz w:val="14"/>
          <w:szCs w:val="14"/>
        </w:rPr>
      </w:pPr>
    </w:p>
    <w:p w14:paraId="0C30BFAA" w14:textId="2853F413" w:rsidR="000D007A" w:rsidRDefault="000D007A" w:rsidP="000D007A">
      <w:pPr>
        <w:spacing w:before="120" w:after="120"/>
        <w:rPr>
          <w:rFonts w:asciiTheme="minorHAnsi" w:hAnsiTheme="minorHAnsi" w:cstheme="minorHAnsi"/>
          <w:b/>
          <w:sz w:val="28"/>
          <w:szCs w:val="28"/>
        </w:rPr>
      </w:pPr>
      <w:r w:rsidRPr="00646D58">
        <w:rPr>
          <w:rFonts w:asciiTheme="minorHAnsi" w:hAnsiTheme="minorHAnsi" w:cstheme="minorHAnsi"/>
          <w:b/>
          <w:sz w:val="28"/>
          <w:szCs w:val="28"/>
        </w:rPr>
        <w:t>Q&amp;S Option 2</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419"/>
        <w:gridCol w:w="4183"/>
      </w:tblGrid>
      <w:tr w:rsidR="00710601" w:rsidRPr="00776198" w14:paraId="4EEE7EED" w14:textId="77777777" w:rsidTr="001840CE">
        <w:trPr>
          <w:trHeight w:val="354"/>
        </w:trPr>
        <w:tc>
          <w:tcPr>
            <w:tcW w:w="1829" w:type="pct"/>
            <w:shd w:val="clear" w:color="auto" w:fill="CCFFFF"/>
            <w:vAlign w:val="center"/>
          </w:tcPr>
          <w:p w14:paraId="7B2AF7D2" w14:textId="3F3F2CA5" w:rsidR="00710601" w:rsidRPr="00776198" w:rsidRDefault="00710601" w:rsidP="00A2488F">
            <w:pPr>
              <w:jc w:val="center"/>
              <w:rPr>
                <w:rFonts w:asciiTheme="minorHAnsi" w:hAnsiTheme="minorHAnsi" w:cstheme="minorHAnsi"/>
                <w:b/>
                <w:sz w:val="20"/>
                <w:szCs w:val="22"/>
              </w:rPr>
            </w:pPr>
            <w:r w:rsidRPr="00776198">
              <w:rPr>
                <w:rFonts w:asciiTheme="minorHAnsi" w:hAnsiTheme="minorHAnsi" w:cstheme="minorHAnsi"/>
                <w:sz w:val="20"/>
                <w:szCs w:val="22"/>
              </w:rPr>
              <w:br w:type="page"/>
            </w:r>
            <w:r w:rsidRPr="00776198">
              <w:rPr>
                <w:rFonts w:asciiTheme="minorHAnsi" w:hAnsiTheme="minorHAnsi" w:cstheme="minorHAnsi"/>
                <w:b/>
                <w:bCs/>
                <w:sz w:val="20"/>
                <w:szCs w:val="22"/>
              </w:rPr>
              <w:t>Respiratory</w:t>
            </w:r>
          </w:p>
        </w:tc>
        <w:tc>
          <w:tcPr>
            <w:tcW w:w="1629" w:type="pct"/>
            <w:shd w:val="clear" w:color="auto" w:fill="CCFFFF"/>
            <w:vAlign w:val="center"/>
          </w:tcPr>
          <w:p w14:paraId="3A7234B1" w14:textId="77777777" w:rsidR="00710601" w:rsidRPr="00776198" w:rsidRDefault="00710601" w:rsidP="00A2488F">
            <w:pPr>
              <w:jc w:val="center"/>
              <w:rPr>
                <w:rFonts w:asciiTheme="minorHAnsi" w:hAnsiTheme="minorHAnsi" w:cstheme="minorHAnsi"/>
                <w:b/>
                <w:bCs/>
                <w:sz w:val="20"/>
                <w:szCs w:val="22"/>
              </w:rPr>
            </w:pPr>
            <w:r w:rsidRPr="00776198">
              <w:rPr>
                <w:rFonts w:asciiTheme="minorHAnsi" w:hAnsiTheme="minorHAnsi" w:cstheme="minorHAnsi"/>
                <w:b/>
                <w:bCs/>
                <w:sz w:val="20"/>
                <w:szCs w:val="22"/>
              </w:rPr>
              <w:t>Rationale</w:t>
            </w:r>
          </w:p>
        </w:tc>
        <w:tc>
          <w:tcPr>
            <w:tcW w:w="1542" w:type="pct"/>
            <w:shd w:val="clear" w:color="auto" w:fill="CCFFFF"/>
            <w:vAlign w:val="center"/>
          </w:tcPr>
          <w:p w14:paraId="4A5C3873" w14:textId="77777777" w:rsidR="00710601" w:rsidRPr="00776198" w:rsidRDefault="00710601" w:rsidP="00A2488F">
            <w:pPr>
              <w:jc w:val="center"/>
              <w:rPr>
                <w:rFonts w:asciiTheme="minorHAnsi" w:hAnsiTheme="minorHAnsi" w:cstheme="minorHAnsi"/>
                <w:b/>
                <w:bCs/>
                <w:sz w:val="20"/>
                <w:szCs w:val="22"/>
              </w:rPr>
            </w:pPr>
            <w:r>
              <w:rPr>
                <w:rFonts w:cs="Arial"/>
                <w:b/>
                <w:bCs/>
                <w:color w:val="000000"/>
                <w:sz w:val="18"/>
                <w:szCs w:val="22"/>
              </w:rPr>
              <w:t>Useful resources for Community Pharmacy</w:t>
            </w:r>
          </w:p>
        </w:tc>
      </w:tr>
      <w:tr w:rsidR="00710601" w:rsidRPr="001D0C1A" w14:paraId="04FB805C" w14:textId="77777777" w:rsidTr="001840CE">
        <w:trPr>
          <w:trHeight w:val="354"/>
        </w:trPr>
        <w:tc>
          <w:tcPr>
            <w:tcW w:w="1829" w:type="pct"/>
            <w:shd w:val="clear" w:color="auto" w:fill="auto"/>
            <w:vAlign w:val="center"/>
          </w:tcPr>
          <w:p w14:paraId="444F001A" w14:textId="77777777" w:rsidR="00710601" w:rsidRPr="001D0C1A" w:rsidRDefault="00710601" w:rsidP="00710601">
            <w:pPr>
              <w:spacing w:after="120"/>
              <w:jc w:val="both"/>
              <w:rPr>
                <w:rFonts w:ascii="Calibri" w:hAnsi="Calibri"/>
                <w:sz w:val="20"/>
              </w:rPr>
            </w:pPr>
            <w:r w:rsidRPr="001D0C1A">
              <w:rPr>
                <w:rFonts w:ascii="Calibri" w:hAnsi="Calibri"/>
                <w:sz w:val="20"/>
              </w:rPr>
              <w:t>Identification of asthmatic patients aged 6 years and over who have received 6 or more Short Acting Beta- agonists (SABA) inhalers in the previous 12 months.</w:t>
            </w:r>
          </w:p>
          <w:p w14:paraId="3661D0AC" w14:textId="25C3BCF7" w:rsidR="00710601" w:rsidRPr="001D0C1A" w:rsidRDefault="00710601" w:rsidP="00710601">
            <w:pPr>
              <w:spacing w:before="120" w:after="120"/>
              <w:jc w:val="both"/>
              <w:rPr>
                <w:rFonts w:asciiTheme="minorHAnsi" w:hAnsiTheme="minorHAnsi" w:cstheme="minorHAnsi"/>
                <w:sz w:val="20"/>
              </w:rPr>
            </w:pPr>
            <w:r w:rsidRPr="001D0C1A">
              <w:rPr>
                <w:rFonts w:asciiTheme="minorHAnsi" w:hAnsiTheme="minorHAnsi" w:cstheme="minorHAnsi"/>
                <w:sz w:val="20"/>
              </w:rPr>
              <w:t>Practices should review the patients to assess the patient’s condition and consider if the patient requires a step up in treatment to ensure better control of their Asthma and / or education on their disease management.</w:t>
            </w:r>
          </w:p>
        </w:tc>
        <w:tc>
          <w:tcPr>
            <w:tcW w:w="1629" w:type="pct"/>
            <w:shd w:val="clear" w:color="auto" w:fill="auto"/>
            <w:vAlign w:val="center"/>
          </w:tcPr>
          <w:p w14:paraId="5C498D7C" w14:textId="77777777" w:rsidR="00710601" w:rsidRPr="001D0C1A" w:rsidRDefault="00710601" w:rsidP="00710601">
            <w:pPr>
              <w:spacing w:before="120" w:after="120"/>
              <w:jc w:val="both"/>
              <w:rPr>
                <w:rFonts w:asciiTheme="minorHAnsi" w:eastAsiaTheme="minorHAnsi" w:hAnsiTheme="minorHAnsi" w:cstheme="minorBidi"/>
                <w:sz w:val="20"/>
              </w:rPr>
            </w:pPr>
            <w:r w:rsidRPr="001D0C1A">
              <w:rPr>
                <w:rFonts w:asciiTheme="minorHAnsi" w:eastAsiaTheme="minorHAnsi" w:hAnsiTheme="minorHAnsi" w:cstheme="minorBidi"/>
                <w:sz w:val="20"/>
              </w:rPr>
              <w:t xml:space="preserve">The </w:t>
            </w:r>
            <w:hyperlink r:id="rId21" w:history="1">
              <w:r w:rsidRPr="001D0C1A">
                <w:rPr>
                  <w:rFonts w:asciiTheme="minorHAnsi" w:eastAsiaTheme="minorHAnsi" w:hAnsiTheme="minorHAnsi" w:cstheme="minorBidi"/>
                  <w:color w:val="0000FF" w:themeColor="hyperlink"/>
                  <w:sz w:val="20"/>
                  <w:u w:val="single"/>
                </w:rPr>
                <w:t>National Review of Asthma Deaths (NRAD)</w:t>
              </w:r>
            </w:hyperlink>
            <w:r w:rsidRPr="001D0C1A">
              <w:rPr>
                <w:rFonts w:asciiTheme="minorHAnsi" w:eastAsiaTheme="minorHAnsi" w:hAnsiTheme="minorHAnsi" w:cstheme="minorBidi"/>
                <w:sz w:val="20"/>
                <w:vertAlign w:val="superscript"/>
              </w:rPr>
              <w:t>5</w:t>
            </w:r>
            <w:r w:rsidRPr="001D0C1A">
              <w:rPr>
                <w:rFonts w:asciiTheme="minorHAnsi" w:eastAsiaTheme="minorHAnsi" w:hAnsiTheme="minorHAnsi" w:cstheme="minorBidi"/>
                <w:sz w:val="20"/>
              </w:rPr>
              <w:t xml:space="preserve"> published in 2013 highlighted overuse of short-acting bronchodilators as a key indicator of poor asthma control and higher risk of exacerbation and death.</w:t>
            </w:r>
          </w:p>
          <w:p w14:paraId="4CF8B4ED" w14:textId="0CC5C197" w:rsidR="00710601" w:rsidRPr="001D0C1A" w:rsidRDefault="00710601" w:rsidP="00710601">
            <w:pPr>
              <w:spacing w:before="120" w:after="120"/>
              <w:jc w:val="both"/>
              <w:rPr>
                <w:rFonts w:asciiTheme="minorHAnsi" w:hAnsiTheme="minorHAnsi" w:cstheme="minorHAnsi"/>
                <w:sz w:val="20"/>
              </w:rPr>
            </w:pPr>
            <w:r w:rsidRPr="001D0C1A">
              <w:rPr>
                <w:rFonts w:asciiTheme="minorHAnsi" w:eastAsiaTheme="minorHAnsi" w:hAnsiTheme="minorHAnsi" w:cstheme="minorBidi"/>
                <w:sz w:val="20"/>
              </w:rPr>
              <w:t>The impact on the environment can also be reduced by optimising treatment and patients using fewer inhalers to manage their condition.</w:t>
            </w:r>
          </w:p>
        </w:tc>
        <w:tc>
          <w:tcPr>
            <w:tcW w:w="1542" w:type="pct"/>
          </w:tcPr>
          <w:p w14:paraId="122651A9" w14:textId="48A17330" w:rsidR="00A754B0" w:rsidRPr="00A754B0" w:rsidRDefault="00A754B0" w:rsidP="00A754B0">
            <w:pPr>
              <w:spacing w:before="120" w:after="120"/>
              <w:jc w:val="both"/>
              <w:rPr>
                <w:rFonts w:asciiTheme="minorHAnsi" w:eastAsiaTheme="minorHAnsi" w:hAnsiTheme="minorHAnsi" w:cs="Arial"/>
                <w:sz w:val="20"/>
              </w:rPr>
            </w:pPr>
            <w:r w:rsidRPr="001D0C1A">
              <w:rPr>
                <w:rFonts w:asciiTheme="minorHAnsi" w:eastAsiaTheme="minorHAnsi" w:hAnsiTheme="minorHAnsi" w:cs="Arial"/>
                <w:sz w:val="20"/>
              </w:rPr>
              <w:t xml:space="preserve">This is one of the </w:t>
            </w:r>
            <w:hyperlink r:id="rId22" w:history="1">
              <w:r w:rsidRPr="001D0C1A">
                <w:rPr>
                  <w:rStyle w:val="Hyperlink"/>
                  <w:rFonts w:asciiTheme="minorHAnsi" w:eastAsiaTheme="minorHAnsi" w:hAnsiTheme="minorHAnsi" w:cs="Arial"/>
                  <w:sz w:val="20"/>
                </w:rPr>
                <w:t>national medicines optimisation opportunities</w:t>
              </w:r>
            </w:hyperlink>
            <w:r w:rsidRPr="001D0C1A">
              <w:rPr>
                <w:rFonts w:asciiTheme="minorHAnsi" w:eastAsiaTheme="minorHAnsi" w:hAnsiTheme="minorHAnsi" w:cs="Arial"/>
                <w:sz w:val="20"/>
              </w:rPr>
              <w:t xml:space="preserve"> identified</w:t>
            </w:r>
            <w:r>
              <w:rPr>
                <w:rFonts w:asciiTheme="minorHAnsi" w:eastAsiaTheme="minorHAnsi" w:hAnsiTheme="minorHAnsi" w:cs="Arial"/>
                <w:sz w:val="20"/>
              </w:rPr>
              <w:t xml:space="preserve">: </w:t>
            </w:r>
            <w:hyperlink r:id="rId23" w:anchor="11-improving-respiratory-outcomes-while-reducing-the-carbon-emissions-from-inhalers" w:history="1">
              <w:r w:rsidRPr="00A754B0">
                <w:rPr>
                  <w:rFonts w:asciiTheme="minorHAnsi" w:eastAsiaTheme="minorHAnsi" w:hAnsiTheme="minorHAnsi" w:cs="Arial"/>
                  <w:sz w:val="20"/>
                </w:rPr>
                <w:t>11. Improving respiratory outcomes while reducing the carbon emissions from inhalers</w:t>
              </w:r>
            </w:hyperlink>
            <w:r>
              <w:rPr>
                <w:rFonts w:asciiTheme="minorHAnsi" w:eastAsiaTheme="minorHAnsi" w:hAnsiTheme="minorHAnsi" w:cs="Arial"/>
                <w:sz w:val="20"/>
              </w:rPr>
              <w:t>.</w:t>
            </w:r>
          </w:p>
          <w:p w14:paraId="7C41D7AA" w14:textId="366ACF32" w:rsidR="00A754B0" w:rsidRPr="003D162E" w:rsidRDefault="00731F65" w:rsidP="00A2488F">
            <w:pPr>
              <w:spacing w:before="120" w:after="120"/>
              <w:jc w:val="both"/>
              <w:rPr>
                <w:rFonts w:asciiTheme="minorHAnsi" w:eastAsiaTheme="minorHAnsi" w:hAnsiTheme="minorHAnsi" w:cstheme="minorHAnsi"/>
                <w:sz w:val="20"/>
              </w:rPr>
            </w:pPr>
            <w:hyperlink r:id="rId24" w:history="1">
              <w:r w:rsidR="003D162E" w:rsidRPr="003D162E">
                <w:rPr>
                  <w:rStyle w:val="Hyperlink"/>
                  <w:rFonts w:asciiTheme="minorHAnsi" w:hAnsiTheme="minorHAnsi" w:cstheme="minorHAnsi"/>
                  <w:sz w:val="20"/>
                  <w:szCs w:val="16"/>
                </w:rPr>
                <w:t>Asthma Slide Rule | Primary Care Respiratory Society (pcrs-uk.org)</w:t>
              </w:r>
            </w:hyperlink>
          </w:p>
        </w:tc>
      </w:tr>
    </w:tbl>
    <w:p w14:paraId="1179205C" w14:textId="77777777" w:rsidR="00D21FAC" w:rsidRDefault="00D21FAC" w:rsidP="000D007A">
      <w:pPr>
        <w:spacing w:before="120" w:after="120"/>
        <w:rPr>
          <w:rFonts w:asciiTheme="minorHAnsi" w:hAnsiTheme="minorHAnsi" w:cstheme="minorHAnsi"/>
          <w:b/>
          <w:sz w:val="28"/>
          <w:szCs w:val="28"/>
        </w:rPr>
      </w:pPr>
    </w:p>
    <w:p w14:paraId="0BD35425" w14:textId="77777777" w:rsidR="001840CE" w:rsidRDefault="001840CE" w:rsidP="000D007A">
      <w:pPr>
        <w:spacing w:before="120" w:after="120"/>
        <w:rPr>
          <w:rFonts w:asciiTheme="minorHAnsi" w:hAnsiTheme="minorHAnsi" w:cstheme="minorHAnsi"/>
          <w:b/>
          <w:sz w:val="28"/>
          <w:szCs w:val="28"/>
        </w:rPr>
      </w:pPr>
    </w:p>
    <w:p w14:paraId="69682EA7" w14:textId="77777777" w:rsidR="001840CE" w:rsidRDefault="001840CE" w:rsidP="000D007A">
      <w:pPr>
        <w:spacing w:before="120" w:after="120"/>
        <w:rPr>
          <w:rFonts w:asciiTheme="minorHAnsi" w:hAnsiTheme="minorHAnsi" w:cstheme="minorHAnsi"/>
          <w:b/>
          <w:sz w:val="28"/>
          <w:szCs w:val="28"/>
        </w:rPr>
      </w:pPr>
    </w:p>
    <w:p w14:paraId="7A706E53" w14:textId="5EFFAC12" w:rsidR="000D007A" w:rsidRDefault="000D007A" w:rsidP="00AA748F">
      <w:pPr>
        <w:spacing w:before="240" w:after="120"/>
        <w:rPr>
          <w:rFonts w:asciiTheme="minorHAnsi" w:hAnsiTheme="minorHAnsi" w:cstheme="minorHAnsi"/>
          <w:b/>
          <w:szCs w:val="24"/>
        </w:rPr>
      </w:pPr>
      <w:r w:rsidRPr="00646D58">
        <w:rPr>
          <w:rFonts w:asciiTheme="minorHAnsi" w:hAnsiTheme="minorHAnsi" w:cstheme="minorHAnsi"/>
          <w:b/>
          <w:sz w:val="28"/>
          <w:szCs w:val="28"/>
        </w:rPr>
        <w:lastRenderedPageBreak/>
        <w:t>Q&amp;S Option 3</w:t>
      </w:r>
      <w:r w:rsidR="00646D58" w:rsidRPr="00646D58">
        <w:rPr>
          <w:rFonts w:asciiTheme="minorHAnsi" w:hAnsiTheme="minorHAnsi" w:cstheme="minorHAnsi"/>
          <w:b/>
          <w:sz w:val="28"/>
          <w:szCs w:val="28"/>
        </w:rPr>
        <w:t xml:space="preserve"> </w:t>
      </w:r>
      <w:r w:rsidR="00646D58">
        <w:rPr>
          <w:rFonts w:asciiTheme="minorHAnsi" w:hAnsiTheme="minorHAnsi" w:cstheme="minorHAnsi"/>
          <w:b/>
          <w:szCs w:val="24"/>
        </w:rPr>
        <w:t>(There are 2 parts for this target)</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4726"/>
        <w:gridCol w:w="3641"/>
      </w:tblGrid>
      <w:tr w:rsidR="00E730F9" w:rsidRPr="00776198" w14:paraId="05ED726A" w14:textId="77777777" w:rsidTr="00AA748F">
        <w:trPr>
          <w:trHeight w:val="354"/>
        </w:trPr>
        <w:tc>
          <w:tcPr>
            <w:tcW w:w="1916" w:type="pct"/>
            <w:shd w:val="clear" w:color="auto" w:fill="CCFFFF"/>
            <w:vAlign w:val="center"/>
          </w:tcPr>
          <w:p w14:paraId="5FEC91AE" w14:textId="1F1638CD" w:rsidR="00710601" w:rsidRPr="00776198" w:rsidRDefault="00710601" w:rsidP="00A2488F">
            <w:pPr>
              <w:jc w:val="center"/>
              <w:rPr>
                <w:rFonts w:asciiTheme="minorHAnsi" w:hAnsiTheme="minorHAnsi" w:cstheme="minorHAnsi"/>
                <w:b/>
                <w:sz w:val="20"/>
                <w:szCs w:val="22"/>
              </w:rPr>
            </w:pPr>
            <w:r w:rsidRPr="00776198">
              <w:rPr>
                <w:rFonts w:asciiTheme="minorHAnsi" w:hAnsiTheme="minorHAnsi" w:cstheme="minorHAnsi"/>
                <w:sz w:val="20"/>
                <w:szCs w:val="22"/>
              </w:rPr>
              <w:br w:type="page"/>
            </w:r>
            <w:r>
              <w:rPr>
                <w:b/>
                <w:bCs/>
                <w:sz w:val="18"/>
              </w:rPr>
              <w:t>Diabetes</w:t>
            </w:r>
          </w:p>
        </w:tc>
        <w:tc>
          <w:tcPr>
            <w:tcW w:w="1742" w:type="pct"/>
            <w:shd w:val="clear" w:color="auto" w:fill="CCFFFF"/>
            <w:vAlign w:val="center"/>
          </w:tcPr>
          <w:p w14:paraId="119DBAB9" w14:textId="77777777" w:rsidR="00710601" w:rsidRPr="00776198" w:rsidRDefault="00710601" w:rsidP="00A2488F">
            <w:pPr>
              <w:jc w:val="center"/>
              <w:rPr>
                <w:rFonts w:asciiTheme="minorHAnsi" w:hAnsiTheme="minorHAnsi" w:cstheme="minorHAnsi"/>
                <w:b/>
                <w:bCs/>
                <w:sz w:val="20"/>
                <w:szCs w:val="22"/>
              </w:rPr>
            </w:pPr>
            <w:r w:rsidRPr="00776198">
              <w:rPr>
                <w:rFonts w:asciiTheme="minorHAnsi" w:hAnsiTheme="minorHAnsi" w:cstheme="minorHAnsi"/>
                <w:b/>
                <w:bCs/>
                <w:sz w:val="20"/>
                <w:szCs w:val="22"/>
              </w:rPr>
              <w:t>Rationale</w:t>
            </w:r>
          </w:p>
        </w:tc>
        <w:tc>
          <w:tcPr>
            <w:tcW w:w="1342" w:type="pct"/>
            <w:shd w:val="clear" w:color="auto" w:fill="CCFFFF"/>
            <w:vAlign w:val="center"/>
          </w:tcPr>
          <w:p w14:paraId="6B10FE02" w14:textId="77777777" w:rsidR="00710601" w:rsidRPr="00776198" w:rsidRDefault="00710601" w:rsidP="00A2488F">
            <w:pPr>
              <w:jc w:val="center"/>
              <w:rPr>
                <w:rFonts w:asciiTheme="minorHAnsi" w:hAnsiTheme="minorHAnsi" w:cstheme="minorHAnsi"/>
                <w:b/>
                <w:bCs/>
                <w:sz w:val="20"/>
                <w:szCs w:val="22"/>
              </w:rPr>
            </w:pPr>
            <w:r>
              <w:rPr>
                <w:rFonts w:cs="Arial"/>
                <w:b/>
                <w:bCs/>
                <w:color w:val="000000"/>
                <w:sz w:val="18"/>
                <w:szCs w:val="22"/>
              </w:rPr>
              <w:t>Useful resources for Community Pharmacy</w:t>
            </w:r>
          </w:p>
        </w:tc>
      </w:tr>
      <w:tr w:rsidR="00E730F9" w:rsidRPr="001D0C1A" w14:paraId="037EBFB1" w14:textId="77777777" w:rsidTr="00AA748F">
        <w:trPr>
          <w:trHeight w:val="354"/>
        </w:trPr>
        <w:tc>
          <w:tcPr>
            <w:tcW w:w="1916" w:type="pct"/>
            <w:shd w:val="clear" w:color="auto" w:fill="auto"/>
            <w:vAlign w:val="center"/>
          </w:tcPr>
          <w:p w14:paraId="60ABB38B" w14:textId="77777777" w:rsidR="00710601" w:rsidRPr="001D0C1A" w:rsidRDefault="00710601" w:rsidP="001840CE">
            <w:pPr>
              <w:pStyle w:val="ListParagraph"/>
              <w:numPr>
                <w:ilvl w:val="0"/>
                <w:numId w:val="37"/>
              </w:numPr>
              <w:spacing w:after="120"/>
              <w:ind w:left="357" w:hanging="357"/>
              <w:jc w:val="both"/>
              <w:rPr>
                <w:rFonts w:asciiTheme="minorHAnsi" w:hAnsiTheme="minorHAnsi" w:cstheme="minorHAnsi"/>
                <w:sz w:val="20"/>
                <w:szCs w:val="22"/>
              </w:rPr>
            </w:pPr>
            <w:r w:rsidRPr="001D0C1A">
              <w:rPr>
                <w:rFonts w:asciiTheme="minorHAnsi" w:hAnsiTheme="minorHAnsi" w:cstheme="minorHAnsi"/>
                <w:sz w:val="20"/>
                <w:szCs w:val="22"/>
              </w:rPr>
              <w:t>Identification of patients with type 2 diabetes (T2DM) aged 18-75, on the coronary heart disease register, prescribed monotherapy with metformin.</w:t>
            </w:r>
          </w:p>
          <w:p w14:paraId="3613D22F" w14:textId="77777777" w:rsidR="00710601" w:rsidRPr="001D0C1A" w:rsidRDefault="00710601" w:rsidP="001840CE">
            <w:pPr>
              <w:spacing w:after="120"/>
              <w:jc w:val="both"/>
              <w:rPr>
                <w:rFonts w:ascii="Calibri" w:hAnsi="Calibri"/>
                <w:sz w:val="20"/>
                <w:szCs w:val="22"/>
              </w:rPr>
            </w:pPr>
            <w:r w:rsidRPr="001D0C1A">
              <w:rPr>
                <w:rFonts w:ascii="Calibri" w:hAnsi="Calibri"/>
                <w:sz w:val="20"/>
                <w:szCs w:val="22"/>
              </w:rPr>
              <w:t>Practices should review the patients and consider initiating a cost-effective, evidence based SGLT2 agent, where clinically appropriate.</w:t>
            </w:r>
          </w:p>
          <w:p w14:paraId="31732420" w14:textId="77777777" w:rsidR="00710601" w:rsidRPr="001D0C1A" w:rsidRDefault="00710601" w:rsidP="001840CE">
            <w:pPr>
              <w:spacing w:after="120"/>
              <w:jc w:val="both"/>
              <w:rPr>
                <w:rFonts w:ascii="Calibri" w:hAnsi="Calibri"/>
                <w:sz w:val="20"/>
                <w:szCs w:val="22"/>
              </w:rPr>
            </w:pPr>
          </w:p>
          <w:p w14:paraId="293DAB4E" w14:textId="77777777" w:rsidR="00710601" w:rsidRPr="001D0C1A" w:rsidRDefault="00710601" w:rsidP="001840CE">
            <w:pPr>
              <w:pStyle w:val="ListParagraph"/>
              <w:numPr>
                <w:ilvl w:val="0"/>
                <w:numId w:val="37"/>
              </w:numPr>
              <w:spacing w:after="120"/>
              <w:ind w:left="357" w:hanging="357"/>
              <w:jc w:val="both"/>
              <w:rPr>
                <w:rFonts w:asciiTheme="minorHAnsi" w:hAnsiTheme="minorHAnsi" w:cstheme="minorHAnsi"/>
                <w:sz w:val="20"/>
                <w:szCs w:val="22"/>
              </w:rPr>
            </w:pPr>
            <w:r w:rsidRPr="001D0C1A">
              <w:rPr>
                <w:rFonts w:asciiTheme="minorHAnsi" w:hAnsiTheme="minorHAnsi" w:cstheme="minorHAnsi"/>
                <w:sz w:val="20"/>
                <w:szCs w:val="22"/>
              </w:rPr>
              <w:t>Identification of patients with type 2 diabetes, prescribed a low dose SGLT2 and their latest HbA1C &gt; 58 mmol.</w:t>
            </w:r>
          </w:p>
          <w:p w14:paraId="3DE19458" w14:textId="77777777" w:rsidR="00710601" w:rsidRPr="001D0C1A" w:rsidRDefault="00710601" w:rsidP="001840CE">
            <w:pPr>
              <w:spacing w:after="120"/>
              <w:jc w:val="both"/>
              <w:rPr>
                <w:rFonts w:asciiTheme="minorHAnsi" w:hAnsiTheme="minorHAnsi" w:cstheme="minorHAnsi"/>
                <w:sz w:val="20"/>
                <w:szCs w:val="22"/>
              </w:rPr>
            </w:pPr>
            <w:r w:rsidRPr="001D0C1A">
              <w:rPr>
                <w:rFonts w:asciiTheme="minorHAnsi" w:hAnsiTheme="minorHAnsi" w:cstheme="minorHAnsi"/>
                <w:sz w:val="20"/>
                <w:szCs w:val="22"/>
              </w:rPr>
              <w:t>Practices should review the patients and consider optimising the SGLT2 dose where clinically appropriate.</w:t>
            </w:r>
          </w:p>
          <w:p w14:paraId="350BFB11" w14:textId="5119AA6B" w:rsidR="00710601" w:rsidRPr="001D0C1A" w:rsidRDefault="00710601" w:rsidP="001840CE">
            <w:pPr>
              <w:spacing w:after="120"/>
              <w:jc w:val="both"/>
              <w:rPr>
                <w:rFonts w:asciiTheme="minorHAnsi" w:hAnsiTheme="minorHAnsi" w:cstheme="minorHAnsi"/>
                <w:sz w:val="20"/>
                <w:szCs w:val="22"/>
              </w:rPr>
            </w:pPr>
          </w:p>
        </w:tc>
        <w:tc>
          <w:tcPr>
            <w:tcW w:w="1742" w:type="pct"/>
            <w:shd w:val="clear" w:color="auto" w:fill="auto"/>
            <w:vAlign w:val="center"/>
          </w:tcPr>
          <w:p w14:paraId="2A0BF7AD" w14:textId="77777777" w:rsidR="00710601" w:rsidRPr="001D0C1A" w:rsidRDefault="00731F65" w:rsidP="001840CE">
            <w:pPr>
              <w:spacing w:after="120"/>
              <w:jc w:val="both"/>
              <w:rPr>
                <w:rFonts w:asciiTheme="minorHAnsi" w:eastAsiaTheme="minorHAnsi" w:hAnsiTheme="minorHAnsi" w:cstheme="minorBidi"/>
                <w:sz w:val="20"/>
                <w:szCs w:val="22"/>
              </w:rPr>
            </w:pPr>
            <w:hyperlink r:id="rId25" w:history="1">
              <w:r w:rsidR="00710601" w:rsidRPr="001D0C1A">
                <w:rPr>
                  <w:rFonts w:asciiTheme="minorHAnsi" w:eastAsiaTheme="minorHAnsi" w:hAnsiTheme="minorHAnsi" w:cstheme="minorBidi"/>
                  <w:color w:val="0000FF" w:themeColor="hyperlink"/>
                  <w:sz w:val="20"/>
                  <w:szCs w:val="22"/>
                  <w:u w:val="single"/>
                </w:rPr>
                <w:t>NICE diabetes guideline</w:t>
              </w:r>
            </w:hyperlink>
            <w:r w:rsidR="00710601" w:rsidRPr="001D0C1A">
              <w:rPr>
                <w:rFonts w:asciiTheme="minorHAnsi" w:eastAsiaTheme="minorHAnsi" w:hAnsiTheme="minorHAnsi" w:cstheme="minorBidi"/>
                <w:sz w:val="20"/>
                <w:szCs w:val="22"/>
                <w:vertAlign w:val="superscript"/>
              </w:rPr>
              <w:t>6</w:t>
            </w:r>
            <w:r w:rsidR="00710601" w:rsidRPr="001D0C1A">
              <w:rPr>
                <w:rFonts w:asciiTheme="minorHAnsi" w:eastAsiaTheme="minorHAnsi" w:hAnsiTheme="minorHAnsi" w:cstheme="minorBidi"/>
                <w:sz w:val="20"/>
                <w:szCs w:val="22"/>
              </w:rPr>
              <w:t xml:space="preserve"> June 2022, makes a strong case for earlier use of SGLT2 agents due to their cardiovascular benefits. It recommends offering a SGLT2i to those with T2DM and pre-existing cardiovascular disease (CVD) and considering a SGLT2i for those with T2DM and a high cardiovascular risk (QRISK &gt;10%).</w:t>
            </w:r>
          </w:p>
          <w:p w14:paraId="282972B4" w14:textId="0E7795EF" w:rsidR="00710601" w:rsidRPr="001D0C1A" w:rsidRDefault="00731F65" w:rsidP="001840CE">
            <w:pPr>
              <w:spacing w:after="120"/>
              <w:jc w:val="both"/>
              <w:rPr>
                <w:rFonts w:asciiTheme="minorHAnsi" w:hAnsiTheme="minorHAnsi" w:cstheme="minorHAnsi"/>
                <w:sz w:val="20"/>
                <w:szCs w:val="22"/>
                <w:lang w:eastAsia="en-GB"/>
              </w:rPr>
            </w:pPr>
            <w:hyperlink w:anchor="_GP_evidence_website" w:history="1">
              <w:r w:rsidR="00710601" w:rsidRPr="001D0C1A">
                <w:rPr>
                  <w:rFonts w:asciiTheme="minorHAnsi" w:hAnsiTheme="minorHAnsi" w:cstheme="minorHAnsi"/>
                  <w:color w:val="0000FF" w:themeColor="hyperlink"/>
                  <w:sz w:val="20"/>
                  <w:szCs w:val="22"/>
                  <w:u w:val="single"/>
                  <w:lang w:eastAsia="en-GB"/>
                </w:rPr>
                <w:t>GP Evidence</w:t>
              </w:r>
            </w:hyperlink>
            <w:r w:rsidR="00710601" w:rsidRPr="001D0C1A">
              <w:rPr>
                <w:rFonts w:asciiTheme="minorHAnsi" w:hAnsiTheme="minorHAnsi" w:cstheme="minorHAnsi"/>
                <w:sz w:val="20"/>
                <w:szCs w:val="22"/>
                <w:vertAlign w:val="superscript"/>
                <w:lang w:eastAsia="en-GB"/>
              </w:rPr>
              <w:t>7</w:t>
            </w:r>
            <w:r w:rsidR="00710601" w:rsidRPr="001D0C1A">
              <w:rPr>
                <w:rFonts w:asciiTheme="minorHAnsi" w:hAnsiTheme="minorHAnsi" w:cstheme="minorHAnsi"/>
                <w:sz w:val="20"/>
                <w:szCs w:val="22"/>
                <w:lang w:eastAsia="en-GB"/>
              </w:rPr>
              <w:t xml:space="preserve"> suggests that in patients with type 2 diabetes and established CVD, treating 100 patients with an SGLT2 for 4 years could prevent, 1.2 patients requiring hospitalisation for heart failure, 1.5 patients having a renal outcome, 1.2 patients having a myocardial infarction and 0.8 patients will avoid death compared with those who do not take an SGLT2i.</w:t>
            </w:r>
          </w:p>
          <w:p w14:paraId="78C6428F" w14:textId="59222879" w:rsidR="00710601" w:rsidRPr="001D0C1A" w:rsidRDefault="00710601" w:rsidP="001840CE">
            <w:pPr>
              <w:spacing w:after="120"/>
              <w:jc w:val="both"/>
              <w:rPr>
                <w:rFonts w:asciiTheme="minorHAnsi" w:hAnsiTheme="minorHAnsi" w:cstheme="minorHAnsi"/>
                <w:sz w:val="20"/>
                <w:szCs w:val="22"/>
              </w:rPr>
            </w:pPr>
            <w:r w:rsidRPr="001D0C1A">
              <w:rPr>
                <w:rFonts w:asciiTheme="minorHAnsi" w:hAnsiTheme="minorHAnsi" w:cstheme="minorHAnsi"/>
                <w:sz w:val="20"/>
                <w:szCs w:val="22"/>
                <w:lang w:eastAsia="en-GB"/>
              </w:rPr>
              <w:t>Optimising doses of SGLT2 in patients with uncontrolled type 2 diabetes should improve outcomes and reduce risk of other complication at no additional cost.</w:t>
            </w:r>
          </w:p>
        </w:tc>
        <w:tc>
          <w:tcPr>
            <w:tcW w:w="1342" w:type="pct"/>
          </w:tcPr>
          <w:p w14:paraId="12F04197" w14:textId="77777777" w:rsidR="003D162E" w:rsidRPr="00045D59" w:rsidRDefault="00731F65" w:rsidP="001840CE">
            <w:pPr>
              <w:jc w:val="both"/>
              <w:rPr>
                <w:rFonts w:ascii="Calibri" w:hAnsi="Calibri" w:cs="Calibri"/>
                <w:color w:val="0563C1"/>
                <w:sz w:val="20"/>
                <w:u w:val="single"/>
                <w:lang w:eastAsia="en-GB"/>
              </w:rPr>
            </w:pPr>
            <w:hyperlink r:id="rId26" w:history="1">
              <w:r w:rsidR="003D162E" w:rsidRPr="00045D59">
                <w:rPr>
                  <w:rStyle w:val="Hyperlink"/>
                  <w:rFonts w:ascii="Calibri" w:hAnsi="Calibri" w:cs="Calibri"/>
                  <w:sz w:val="20"/>
                </w:rPr>
                <w:t>NG28 Visual summary on choosing medicines for type 2 diabetes in adults (nice.org.uk)</w:t>
              </w:r>
            </w:hyperlink>
          </w:p>
          <w:p w14:paraId="7DE72D3E" w14:textId="77777777" w:rsidR="00710601" w:rsidRPr="00045D59" w:rsidRDefault="00710601" w:rsidP="001840CE">
            <w:pPr>
              <w:spacing w:after="120"/>
              <w:jc w:val="both"/>
              <w:rPr>
                <w:rFonts w:asciiTheme="minorHAnsi" w:eastAsiaTheme="minorHAnsi" w:hAnsiTheme="minorHAnsi" w:cstheme="minorBidi"/>
                <w:sz w:val="18"/>
              </w:rPr>
            </w:pPr>
          </w:p>
          <w:p w14:paraId="6EC12908" w14:textId="20A70288" w:rsidR="003D162E" w:rsidRPr="00045D59" w:rsidRDefault="00731F65" w:rsidP="001840CE">
            <w:pPr>
              <w:jc w:val="both"/>
              <w:rPr>
                <w:rFonts w:ascii="Calibri" w:hAnsi="Calibri" w:cs="Calibri"/>
                <w:color w:val="0563C1"/>
                <w:sz w:val="20"/>
                <w:u w:val="single"/>
              </w:rPr>
            </w:pPr>
            <w:hyperlink r:id="rId27" w:history="1">
              <w:r w:rsidR="00E730F9" w:rsidRPr="00045D59">
                <w:rPr>
                  <w:rStyle w:val="Hyperlink"/>
                  <w:rFonts w:ascii="Calibri" w:hAnsi="Calibri" w:cs="Calibri"/>
                  <w:sz w:val="20"/>
                </w:rPr>
                <w:t>NICE guidance NG28 - pharmacological therapies with cardiovascular and other benefits in people with type 2 diabetes</w:t>
              </w:r>
            </w:hyperlink>
          </w:p>
          <w:p w14:paraId="4DC27A64" w14:textId="77777777" w:rsidR="00E730F9" w:rsidRDefault="00E730F9" w:rsidP="001840CE">
            <w:pPr>
              <w:jc w:val="both"/>
              <w:rPr>
                <w:rFonts w:ascii="Calibri" w:hAnsi="Calibri" w:cs="Calibri"/>
                <w:color w:val="0563C1"/>
                <w:sz w:val="22"/>
                <w:szCs w:val="22"/>
                <w:u w:val="single"/>
                <w:lang w:eastAsia="en-GB"/>
              </w:rPr>
            </w:pPr>
          </w:p>
          <w:p w14:paraId="5E69ACC5" w14:textId="13A5EC16" w:rsidR="00E730F9" w:rsidRPr="00045D59" w:rsidRDefault="00E730F9" w:rsidP="001840CE">
            <w:pPr>
              <w:jc w:val="both"/>
              <w:rPr>
                <w:rFonts w:ascii="Calibri" w:hAnsi="Calibri" w:cs="Calibri"/>
                <w:color w:val="000000"/>
                <w:sz w:val="20"/>
              </w:rPr>
            </w:pPr>
            <w:r w:rsidRPr="00045D59">
              <w:rPr>
                <w:rFonts w:ascii="Calibri" w:hAnsi="Calibri" w:cs="Calibri"/>
                <w:color w:val="000000"/>
                <w:sz w:val="20"/>
              </w:rPr>
              <w:t>BOB ICB local guidance - SGLT2 Inhibitor Therapy Checklist is available on the formularies and includes ‘SGLT2i for type 2 diabetes’, ‘SGLT2i in heart failure and chronic kidney disease’ and ‘SGLT2i in diabetes patient information leaflet’.</w:t>
            </w:r>
          </w:p>
          <w:p w14:paraId="68F46976" w14:textId="20F47CEF" w:rsidR="003D162E" w:rsidRPr="001D0C1A" w:rsidRDefault="00E730F9" w:rsidP="001840CE">
            <w:pPr>
              <w:jc w:val="both"/>
              <w:rPr>
                <w:rFonts w:asciiTheme="minorHAnsi" w:eastAsiaTheme="minorHAnsi" w:hAnsiTheme="minorHAnsi" w:cstheme="minorBidi"/>
                <w:sz w:val="20"/>
                <w:szCs w:val="22"/>
              </w:rPr>
            </w:pPr>
            <w:r>
              <w:rPr>
                <w:rFonts w:ascii="Calibri" w:hAnsi="Calibri" w:cs="Calibri"/>
                <w:color w:val="000000"/>
                <w:sz w:val="22"/>
                <w:szCs w:val="22"/>
              </w:rPr>
              <w:t xml:space="preserve"> </w:t>
            </w:r>
          </w:p>
        </w:tc>
      </w:tr>
    </w:tbl>
    <w:p w14:paraId="6CB6C1B7" w14:textId="77777777" w:rsidR="0055778A" w:rsidRPr="001840CE" w:rsidRDefault="0055778A" w:rsidP="001840CE">
      <w:pPr>
        <w:rPr>
          <w:rFonts w:asciiTheme="minorHAnsi" w:hAnsiTheme="minorHAnsi" w:cstheme="minorHAnsi"/>
          <w:b/>
          <w:sz w:val="16"/>
          <w:szCs w:val="16"/>
        </w:rPr>
      </w:pPr>
    </w:p>
    <w:p w14:paraId="776E8CD3" w14:textId="5DC1BE84" w:rsidR="000D007A" w:rsidRDefault="000D007A" w:rsidP="001840CE">
      <w:pPr>
        <w:spacing w:after="120"/>
        <w:rPr>
          <w:rFonts w:asciiTheme="minorHAnsi" w:hAnsiTheme="minorHAnsi" w:cstheme="minorHAnsi"/>
          <w:b/>
          <w:sz w:val="28"/>
          <w:szCs w:val="28"/>
        </w:rPr>
      </w:pPr>
      <w:r w:rsidRPr="0055778A">
        <w:rPr>
          <w:rFonts w:asciiTheme="minorHAnsi" w:hAnsiTheme="minorHAnsi" w:cstheme="minorHAnsi"/>
          <w:b/>
          <w:sz w:val="28"/>
          <w:szCs w:val="28"/>
        </w:rPr>
        <w:t>Q&amp;S Option 4</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4726"/>
        <w:gridCol w:w="3641"/>
      </w:tblGrid>
      <w:tr w:rsidR="00C53452" w:rsidRPr="00776198" w14:paraId="768660EC" w14:textId="77777777" w:rsidTr="00AA748F">
        <w:trPr>
          <w:trHeight w:val="354"/>
        </w:trPr>
        <w:tc>
          <w:tcPr>
            <w:tcW w:w="1916" w:type="pct"/>
            <w:shd w:val="clear" w:color="auto" w:fill="CCFFFF"/>
            <w:vAlign w:val="center"/>
          </w:tcPr>
          <w:p w14:paraId="516FD1B8" w14:textId="77777777" w:rsidR="00710601" w:rsidRPr="00776198" w:rsidRDefault="00710601" w:rsidP="00A2488F">
            <w:pPr>
              <w:jc w:val="center"/>
              <w:rPr>
                <w:rFonts w:asciiTheme="minorHAnsi" w:hAnsiTheme="minorHAnsi" w:cstheme="minorHAnsi"/>
                <w:b/>
                <w:sz w:val="20"/>
                <w:szCs w:val="22"/>
              </w:rPr>
            </w:pPr>
            <w:r w:rsidRPr="00776198">
              <w:rPr>
                <w:rFonts w:asciiTheme="minorHAnsi" w:hAnsiTheme="minorHAnsi" w:cstheme="minorHAnsi"/>
                <w:sz w:val="20"/>
                <w:szCs w:val="22"/>
              </w:rPr>
              <w:br w:type="page"/>
            </w:r>
            <w:r>
              <w:rPr>
                <w:b/>
                <w:bCs/>
                <w:sz w:val="18"/>
              </w:rPr>
              <w:t>Diabetes</w:t>
            </w:r>
          </w:p>
        </w:tc>
        <w:tc>
          <w:tcPr>
            <w:tcW w:w="1742" w:type="pct"/>
            <w:shd w:val="clear" w:color="auto" w:fill="CCFFFF"/>
            <w:vAlign w:val="center"/>
          </w:tcPr>
          <w:p w14:paraId="49CD66F2" w14:textId="77777777" w:rsidR="00710601" w:rsidRPr="00776198" w:rsidRDefault="00710601" w:rsidP="00A2488F">
            <w:pPr>
              <w:jc w:val="center"/>
              <w:rPr>
                <w:rFonts w:asciiTheme="minorHAnsi" w:hAnsiTheme="minorHAnsi" w:cstheme="minorHAnsi"/>
                <w:b/>
                <w:bCs/>
                <w:sz w:val="20"/>
                <w:szCs w:val="22"/>
              </w:rPr>
            </w:pPr>
            <w:r w:rsidRPr="00776198">
              <w:rPr>
                <w:rFonts w:asciiTheme="minorHAnsi" w:hAnsiTheme="minorHAnsi" w:cstheme="minorHAnsi"/>
                <w:b/>
                <w:bCs/>
                <w:sz w:val="20"/>
                <w:szCs w:val="22"/>
              </w:rPr>
              <w:t>Rationale</w:t>
            </w:r>
          </w:p>
        </w:tc>
        <w:tc>
          <w:tcPr>
            <w:tcW w:w="1342" w:type="pct"/>
            <w:shd w:val="clear" w:color="auto" w:fill="CCFFFF"/>
            <w:vAlign w:val="center"/>
          </w:tcPr>
          <w:p w14:paraId="67F3295A" w14:textId="77777777" w:rsidR="00710601" w:rsidRPr="00776198" w:rsidRDefault="00710601" w:rsidP="00A2488F">
            <w:pPr>
              <w:jc w:val="center"/>
              <w:rPr>
                <w:rFonts w:asciiTheme="minorHAnsi" w:hAnsiTheme="minorHAnsi" w:cstheme="minorHAnsi"/>
                <w:b/>
                <w:bCs/>
                <w:sz w:val="20"/>
                <w:szCs w:val="22"/>
              </w:rPr>
            </w:pPr>
            <w:r>
              <w:rPr>
                <w:rFonts w:cs="Arial"/>
                <w:b/>
                <w:bCs/>
                <w:color w:val="000000"/>
                <w:sz w:val="18"/>
                <w:szCs w:val="22"/>
              </w:rPr>
              <w:t>Useful resources for Community Pharmacy</w:t>
            </w:r>
          </w:p>
        </w:tc>
      </w:tr>
      <w:tr w:rsidR="00C53452" w:rsidRPr="001D0C1A" w14:paraId="51ABB6F8" w14:textId="77777777" w:rsidTr="00AA748F">
        <w:trPr>
          <w:trHeight w:val="354"/>
        </w:trPr>
        <w:tc>
          <w:tcPr>
            <w:tcW w:w="1916" w:type="pct"/>
            <w:shd w:val="clear" w:color="auto" w:fill="auto"/>
            <w:vAlign w:val="center"/>
          </w:tcPr>
          <w:p w14:paraId="50C6ED3D" w14:textId="6B5A1016" w:rsidR="00710601" w:rsidRPr="001D0C1A" w:rsidRDefault="00710601" w:rsidP="00710601">
            <w:pPr>
              <w:jc w:val="both"/>
              <w:rPr>
                <w:rFonts w:asciiTheme="minorHAnsi" w:hAnsiTheme="minorHAnsi" w:cstheme="minorHAnsi"/>
                <w:sz w:val="20"/>
                <w:szCs w:val="16"/>
              </w:rPr>
            </w:pPr>
            <w:r w:rsidRPr="001D0C1A">
              <w:rPr>
                <w:rFonts w:asciiTheme="minorHAnsi" w:hAnsiTheme="minorHAnsi" w:cstheme="minorHAnsi"/>
                <w:sz w:val="20"/>
                <w:szCs w:val="16"/>
              </w:rPr>
              <w:t xml:space="preserve">Identification of patients aged </w:t>
            </w:r>
            <w:r w:rsidR="00AA748F" w:rsidRPr="00AA748F">
              <w:rPr>
                <w:rFonts w:asciiTheme="minorHAnsi" w:hAnsiTheme="minorHAnsi" w:cstheme="minorHAnsi"/>
                <w:sz w:val="20"/>
                <w:szCs w:val="16"/>
                <w:u w:val="single"/>
              </w:rPr>
              <w:t>&gt;</w:t>
            </w:r>
            <w:r w:rsidR="00AA748F">
              <w:rPr>
                <w:rFonts w:asciiTheme="minorHAnsi" w:hAnsiTheme="minorHAnsi" w:cstheme="minorHAnsi"/>
                <w:sz w:val="20"/>
                <w:szCs w:val="16"/>
              </w:rPr>
              <w:t xml:space="preserve"> 65 years</w:t>
            </w:r>
            <w:r w:rsidRPr="001D0C1A">
              <w:rPr>
                <w:rFonts w:asciiTheme="minorHAnsi" w:hAnsiTheme="minorHAnsi" w:cstheme="minorHAnsi"/>
                <w:sz w:val="20"/>
                <w:szCs w:val="16"/>
              </w:rPr>
              <w:t xml:space="preserve">, who are prescribed an oral non steroidal anti-inflammatory drug (NSAID) (exc. aspirin 75mg) and </w:t>
            </w:r>
            <w:r w:rsidR="00AA748F" w:rsidRPr="00AA748F">
              <w:rPr>
                <w:rFonts w:asciiTheme="minorHAnsi" w:hAnsiTheme="minorHAnsi" w:cstheme="minorHAnsi"/>
                <w:sz w:val="20"/>
                <w:szCs w:val="16"/>
                <w:u w:val="single"/>
              </w:rPr>
              <w:t>&gt;</w:t>
            </w:r>
            <w:r w:rsidR="00AA748F">
              <w:rPr>
                <w:rFonts w:asciiTheme="minorHAnsi" w:hAnsiTheme="minorHAnsi" w:cstheme="minorHAnsi"/>
                <w:sz w:val="20"/>
                <w:szCs w:val="16"/>
              </w:rPr>
              <w:t xml:space="preserve"> 1 </w:t>
            </w:r>
            <w:r w:rsidRPr="001D0C1A">
              <w:rPr>
                <w:rFonts w:asciiTheme="minorHAnsi" w:hAnsiTheme="minorHAnsi" w:cstheme="minorHAnsi"/>
                <w:sz w:val="20"/>
                <w:szCs w:val="16"/>
              </w:rPr>
              <w:t>of the following medicines likely to cause kidney injury e.g., diuretic, ACEI/ARB, metformin.</w:t>
            </w:r>
          </w:p>
          <w:p w14:paraId="7A882EC0" w14:textId="77777777" w:rsidR="00710601" w:rsidRPr="001D0C1A" w:rsidRDefault="00710601" w:rsidP="00710601">
            <w:pPr>
              <w:jc w:val="both"/>
              <w:rPr>
                <w:rFonts w:asciiTheme="minorHAnsi" w:hAnsiTheme="minorHAnsi" w:cstheme="minorHAnsi"/>
                <w:color w:val="000000"/>
                <w:sz w:val="20"/>
                <w:szCs w:val="16"/>
              </w:rPr>
            </w:pPr>
          </w:p>
          <w:p w14:paraId="59916CF0" w14:textId="557663AD" w:rsidR="00710601" w:rsidRPr="001D0C1A" w:rsidRDefault="00710601" w:rsidP="001840CE">
            <w:pPr>
              <w:spacing w:after="120"/>
              <w:jc w:val="both"/>
              <w:rPr>
                <w:rFonts w:asciiTheme="minorHAnsi" w:hAnsiTheme="minorHAnsi" w:cstheme="minorHAnsi"/>
                <w:sz w:val="20"/>
                <w:szCs w:val="16"/>
              </w:rPr>
            </w:pPr>
            <w:r w:rsidRPr="001D0C1A">
              <w:rPr>
                <w:rFonts w:asciiTheme="minorHAnsi" w:hAnsiTheme="minorHAnsi" w:cstheme="minorHAnsi"/>
                <w:color w:val="000000"/>
                <w:sz w:val="20"/>
                <w:szCs w:val="16"/>
              </w:rPr>
              <w:t>Practices should undertake a structured medication review (SMR) on appropriate patients, consider if the NSAID continues to be appropriate and review all other medication prescribed.  The practice should also educate the patient on the causes of Acute Kidney Injury (AKI) to help minimise the risk and the need to maintain fluid balance during episodes of acute illness etc.</w:t>
            </w:r>
          </w:p>
        </w:tc>
        <w:tc>
          <w:tcPr>
            <w:tcW w:w="1742" w:type="pct"/>
            <w:shd w:val="clear" w:color="auto" w:fill="auto"/>
            <w:vAlign w:val="center"/>
          </w:tcPr>
          <w:p w14:paraId="3BB5B77F" w14:textId="77777777" w:rsidR="00710601" w:rsidRPr="001D0C1A" w:rsidRDefault="00710601" w:rsidP="00710601">
            <w:pPr>
              <w:spacing w:before="120" w:after="120"/>
              <w:jc w:val="both"/>
              <w:rPr>
                <w:rFonts w:asciiTheme="minorHAnsi" w:hAnsiTheme="minorHAnsi" w:cstheme="minorHAnsi"/>
                <w:sz w:val="20"/>
                <w:szCs w:val="16"/>
              </w:rPr>
            </w:pPr>
            <w:r w:rsidRPr="001D0C1A">
              <w:rPr>
                <w:rFonts w:asciiTheme="minorHAnsi" w:hAnsiTheme="minorHAnsi" w:cstheme="minorHAnsi"/>
                <w:sz w:val="20"/>
                <w:szCs w:val="16"/>
              </w:rPr>
              <w:t xml:space="preserve">Combinations of diuretics, ACEI/ARB, metformin and NSAIDs are associated with a higher risk of Acute Kidney Injury (AKI). Increasing the awareness of the risk associated with these medications and carrying out structured medication reviews in this targeted group will reduce the likelihood of developing AKI and patients requiring a hospital admission.  </w:t>
            </w:r>
          </w:p>
          <w:p w14:paraId="2EC5D418" w14:textId="04F84C6B" w:rsidR="00710601" w:rsidRPr="001D0C1A" w:rsidRDefault="00710601" w:rsidP="00710601">
            <w:pPr>
              <w:spacing w:before="120" w:after="120"/>
              <w:jc w:val="both"/>
              <w:rPr>
                <w:rFonts w:asciiTheme="minorHAnsi" w:hAnsiTheme="minorHAnsi" w:cstheme="minorHAnsi"/>
                <w:sz w:val="20"/>
                <w:szCs w:val="16"/>
              </w:rPr>
            </w:pPr>
          </w:p>
        </w:tc>
        <w:tc>
          <w:tcPr>
            <w:tcW w:w="1342" w:type="pct"/>
          </w:tcPr>
          <w:p w14:paraId="075BF968" w14:textId="77777777" w:rsidR="00710601" w:rsidRDefault="004E4060" w:rsidP="00A2488F">
            <w:pPr>
              <w:spacing w:before="120" w:after="120"/>
              <w:jc w:val="both"/>
              <w:rPr>
                <w:rFonts w:asciiTheme="minorHAnsi" w:eastAsiaTheme="minorHAnsi" w:hAnsiTheme="minorHAnsi" w:cstheme="minorBidi"/>
                <w:sz w:val="20"/>
                <w:szCs w:val="16"/>
              </w:rPr>
            </w:pPr>
            <w:r w:rsidRPr="001D0C1A">
              <w:rPr>
                <w:rFonts w:asciiTheme="minorHAnsi" w:eastAsiaTheme="minorHAnsi" w:hAnsiTheme="minorHAnsi" w:cstheme="minorBidi"/>
                <w:sz w:val="20"/>
                <w:szCs w:val="16"/>
              </w:rPr>
              <w:t xml:space="preserve">Addressing problematic polypharmacy is highlighted by NHS England in the </w:t>
            </w:r>
            <w:hyperlink r:id="rId28" w:history="1">
              <w:r w:rsidRPr="001D0C1A">
                <w:rPr>
                  <w:rFonts w:asciiTheme="minorHAnsi" w:eastAsiaTheme="minorHAnsi" w:hAnsiTheme="minorHAnsi" w:cstheme="minorBidi"/>
                  <w:color w:val="0000FF" w:themeColor="hyperlink"/>
                  <w:sz w:val="20"/>
                  <w:szCs w:val="16"/>
                  <w:u w:val="single"/>
                </w:rPr>
                <w:t>Medicines Optimisation Opportunities 2023/24</w:t>
              </w:r>
            </w:hyperlink>
            <w:r w:rsidRPr="001D0C1A">
              <w:rPr>
                <w:rFonts w:asciiTheme="minorHAnsi" w:eastAsiaTheme="minorHAnsi" w:hAnsiTheme="minorHAnsi" w:cstheme="minorBidi"/>
                <w:sz w:val="20"/>
                <w:szCs w:val="16"/>
                <w:vertAlign w:val="superscript"/>
              </w:rPr>
              <w:t>8</w:t>
            </w:r>
            <w:r w:rsidRPr="001D0C1A">
              <w:rPr>
                <w:rFonts w:asciiTheme="minorHAnsi" w:eastAsiaTheme="minorHAnsi" w:hAnsiTheme="minorHAnsi" w:cstheme="minorBidi"/>
                <w:sz w:val="20"/>
                <w:szCs w:val="16"/>
              </w:rPr>
              <w:t xml:space="preserve"> guidance.</w:t>
            </w:r>
          </w:p>
          <w:p w14:paraId="1D610E97" w14:textId="77777777" w:rsidR="00045D59" w:rsidRDefault="00045D59" w:rsidP="00A2488F">
            <w:pPr>
              <w:spacing w:before="120" w:after="120"/>
              <w:jc w:val="both"/>
              <w:rPr>
                <w:rFonts w:asciiTheme="minorHAnsi" w:eastAsiaTheme="minorHAnsi" w:hAnsiTheme="minorHAnsi" w:cstheme="minorBidi"/>
                <w:sz w:val="20"/>
                <w:szCs w:val="16"/>
              </w:rPr>
            </w:pPr>
          </w:p>
          <w:p w14:paraId="5682E92A" w14:textId="2C8C83B3" w:rsidR="00C53452" w:rsidRPr="00C53452" w:rsidRDefault="00731F65" w:rsidP="00A2488F">
            <w:pPr>
              <w:spacing w:before="120" w:after="120"/>
              <w:jc w:val="both"/>
              <w:rPr>
                <w:rFonts w:asciiTheme="minorHAnsi" w:eastAsiaTheme="minorHAnsi" w:hAnsiTheme="minorHAnsi" w:cstheme="minorHAnsi"/>
                <w:sz w:val="16"/>
                <w:szCs w:val="12"/>
              </w:rPr>
            </w:pPr>
            <w:hyperlink r:id="rId29" w:history="1">
              <w:r w:rsidR="00C53452" w:rsidRPr="00C53452">
                <w:rPr>
                  <w:rStyle w:val="Hyperlink"/>
                  <w:rFonts w:asciiTheme="minorHAnsi" w:hAnsiTheme="minorHAnsi" w:cstheme="minorHAnsi"/>
                  <w:sz w:val="20"/>
                  <w:szCs w:val="16"/>
                </w:rPr>
                <w:t>Acute Kidney Injury toolkit: Introduction | RCGP Learning</w:t>
              </w:r>
            </w:hyperlink>
          </w:p>
          <w:p w14:paraId="766667DE" w14:textId="76F00DDC" w:rsidR="00045D59" w:rsidRPr="001D0C1A" w:rsidRDefault="00731F65" w:rsidP="00A2488F">
            <w:pPr>
              <w:spacing w:before="120" w:after="120"/>
              <w:jc w:val="both"/>
              <w:rPr>
                <w:rFonts w:asciiTheme="minorHAnsi" w:eastAsiaTheme="minorHAnsi" w:hAnsiTheme="minorHAnsi" w:cstheme="minorBidi"/>
                <w:sz w:val="20"/>
                <w:szCs w:val="16"/>
              </w:rPr>
            </w:pPr>
            <w:hyperlink r:id="rId30" w:history="1">
              <w:r w:rsidR="00C53452" w:rsidRPr="00C53452">
                <w:rPr>
                  <w:rStyle w:val="Hyperlink"/>
                  <w:rFonts w:asciiTheme="minorHAnsi" w:hAnsiTheme="minorHAnsi" w:cstheme="minorHAnsi"/>
                  <w:sz w:val="20"/>
                  <w:szCs w:val="16"/>
                </w:rPr>
                <w:t>Quick-reference-guide-FINAL.pdf (thinkkidneys.nhs.uk)</w:t>
              </w:r>
            </w:hyperlink>
          </w:p>
        </w:tc>
      </w:tr>
    </w:tbl>
    <w:p w14:paraId="27A3D7C9" w14:textId="748B71E0" w:rsidR="00F24FA6" w:rsidRDefault="0055778A" w:rsidP="00F24FA6">
      <w:pPr>
        <w:spacing w:before="120" w:after="120"/>
        <w:rPr>
          <w:rFonts w:asciiTheme="minorHAnsi" w:hAnsiTheme="minorHAnsi" w:cstheme="minorHAnsi"/>
          <w:b/>
          <w:sz w:val="28"/>
          <w:szCs w:val="28"/>
        </w:rPr>
      </w:pPr>
      <w:r w:rsidRPr="0055778A">
        <w:rPr>
          <w:rFonts w:asciiTheme="minorHAnsi" w:hAnsiTheme="minorHAnsi" w:cstheme="minorHAnsi"/>
          <w:b/>
          <w:sz w:val="28"/>
          <w:szCs w:val="28"/>
        </w:rPr>
        <w:lastRenderedPageBreak/>
        <w:t>Q&amp;S Option 5</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4724"/>
        <w:gridCol w:w="3642"/>
      </w:tblGrid>
      <w:tr w:rsidR="00696D28" w:rsidRPr="00776198" w14:paraId="4123CA24" w14:textId="77777777" w:rsidTr="00AA748F">
        <w:trPr>
          <w:trHeight w:val="354"/>
        </w:trPr>
        <w:tc>
          <w:tcPr>
            <w:tcW w:w="1916" w:type="pct"/>
            <w:shd w:val="clear" w:color="auto" w:fill="CCFFFF"/>
            <w:vAlign w:val="center"/>
          </w:tcPr>
          <w:p w14:paraId="48AA55D2" w14:textId="3E65A4D3" w:rsidR="00710601" w:rsidRPr="00776198" w:rsidRDefault="00710601" w:rsidP="00A2488F">
            <w:pPr>
              <w:jc w:val="center"/>
              <w:rPr>
                <w:rFonts w:asciiTheme="minorHAnsi" w:hAnsiTheme="minorHAnsi" w:cstheme="minorHAnsi"/>
                <w:b/>
                <w:sz w:val="20"/>
                <w:szCs w:val="22"/>
              </w:rPr>
            </w:pPr>
            <w:r w:rsidRPr="00776198">
              <w:rPr>
                <w:rFonts w:asciiTheme="minorHAnsi" w:hAnsiTheme="minorHAnsi" w:cstheme="minorHAnsi"/>
                <w:sz w:val="20"/>
                <w:szCs w:val="22"/>
              </w:rPr>
              <w:br w:type="page"/>
            </w:r>
            <w:r>
              <w:rPr>
                <w:b/>
                <w:bCs/>
                <w:sz w:val="18"/>
              </w:rPr>
              <w:t>Antimicrobial Stewardship</w:t>
            </w:r>
          </w:p>
        </w:tc>
        <w:tc>
          <w:tcPr>
            <w:tcW w:w="1741" w:type="pct"/>
            <w:shd w:val="clear" w:color="auto" w:fill="CCFFFF"/>
            <w:vAlign w:val="center"/>
          </w:tcPr>
          <w:p w14:paraId="49AB2F75" w14:textId="77777777" w:rsidR="00710601" w:rsidRPr="00776198" w:rsidRDefault="00710601" w:rsidP="00A2488F">
            <w:pPr>
              <w:jc w:val="center"/>
              <w:rPr>
                <w:rFonts w:asciiTheme="minorHAnsi" w:hAnsiTheme="minorHAnsi" w:cstheme="minorHAnsi"/>
                <w:b/>
                <w:bCs/>
                <w:sz w:val="20"/>
                <w:szCs w:val="22"/>
              </w:rPr>
            </w:pPr>
            <w:r w:rsidRPr="00776198">
              <w:rPr>
                <w:rFonts w:asciiTheme="minorHAnsi" w:hAnsiTheme="minorHAnsi" w:cstheme="minorHAnsi"/>
                <w:b/>
                <w:bCs/>
                <w:sz w:val="20"/>
                <w:szCs w:val="22"/>
              </w:rPr>
              <w:t>Rationale</w:t>
            </w:r>
          </w:p>
        </w:tc>
        <w:tc>
          <w:tcPr>
            <w:tcW w:w="1342" w:type="pct"/>
            <w:shd w:val="clear" w:color="auto" w:fill="CCFFFF"/>
            <w:vAlign w:val="center"/>
          </w:tcPr>
          <w:p w14:paraId="474870FF" w14:textId="77777777" w:rsidR="00710601" w:rsidRPr="00776198" w:rsidRDefault="00710601" w:rsidP="00A2488F">
            <w:pPr>
              <w:jc w:val="center"/>
              <w:rPr>
                <w:rFonts w:asciiTheme="minorHAnsi" w:hAnsiTheme="minorHAnsi" w:cstheme="minorHAnsi"/>
                <w:b/>
                <w:bCs/>
                <w:sz w:val="20"/>
                <w:szCs w:val="22"/>
              </w:rPr>
            </w:pPr>
            <w:r>
              <w:rPr>
                <w:rFonts w:cs="Arial"/>
                <w:b/>
                <w:bCs/>
                <w:color w:val="000000"/>
                <w:sz w:val="18"/>
                <w:szCs w:val="22"/>
              </w:rPr>
              <w:t>Useful resources for Community Pharmacy</w:t>
            </w:r>
          </w:p>
        </w:tc>
      </w:tr>
      <w:tr w:rsidR="001D0C1A" w:rsidRPr="001D0C1A" w14:paraId="577710B2" w14:textId="77777777" w:rsidTr="00AA748F">
        <w:trPr>
          <w:trHeight w:val="354"/>
        </w:trPr>
        <w:tc>
          <w:tcPr>
            <w:tcW w:w="1916" w:type="pct"/>
            <w:shd w:val="clear" w:color="auto" w:fill="auto"/>
            <w:vAlign w:val="center"/>
          </w:tcPr>
          <w:p w14:paraId="1041B825" w14:textId="25D2F4EA" w:rsidR="00710601" w:rsidRPr="001D0C1A" w:rsidRDefault="00710601" w:rsidP="00731F65">
            <w:pPr>
              <w:jc w:val="both"/>
              <w:rPr>
                <w:rFonts w:asciiTheme="minorHAnsi" w:hAnsiTheme="minorHAnsi" w:cstheme="minorHAnsi"/>
                <w:sz w:val="20"/>
              </w:rPr>
            </w:pPr>
            <w:r w:rsidRPr="001D0C1A">
              <w:rPr>
                <w:rFonts w:asciiTheme="minorHAnsi" w:eastAsiaTheme="minorHAnsi" w:hAnsiTheme="minorHAnsi" w:cstheme="minorHAnsi"/>
                <w:sz w:val="20"/>
              </w:rPr>
              <w:t>75% of prescriptions for amoxicillin 500mg capsules should be for 5-</w:t>
            </w:r>
            <w:r w:rsidRPr="00731F65">
              <w:rPr>
                <w:rFonts w:asciiTheme="minorHAnsi" w:eastAsiaTheme="minorHAnsi" w:hAnsiTheme="minorHAnsi" w:cstheme="minorHAnsi"/>
                <w:sz w:val="20"/>
              </w:rPr>
              <w:t xml:space="preserve">day courses (15 capsules), </w:t>
            </w:r>
            <w:r w:rsidR="00731F65" w:rsidRPr="00731F65">
              <w:rPr>
                <w:rFonts w:asciiTheme="minorHAnsi" w:hAnsiTheme="minorHAnsi" w:cstheme="minorHAnsi"/>
                <w:sz w:val="20"/>
              </w:rPr>
              <w:t>for the 3-month period from 1st January 2025 to</w:t>
            </w:r>
            <w:r w:rsidRPr="00731F65">
              <w:rPr>
                <w:rFonts w:asciiTheme="minorHAnsi" w:eastAsiaTheme="minorHAnsi" w:hAnsiTheme="minorHAnsi" w:cstheme="minorHAnsi"/>
                <w:sz w:val="20"/>
              </w:rPr>
              <w:t xml:space="preserve"> 31</w:t>
            </w:r>
            <w:r w:rsidRPr="00731F65">
              <w:rPr>
                <w:rFonts w:asciiTheme="minorHAnsi" w:eastAsiaTheme="minorHAnsi" w:hAnsiTheme="minorHAnsi" w:cstheme="minorHAnsi"/>
                <w:sz w:val="20"/>
                <w:vertAlign w:val="superscript"/>
              </w:rPr>
              <w:t>st</w:t>
            </w:r>
            <w:r w:rsidRPr="00731F65">
              <w:rPr>
                <w:rFonts w:asciiTheme="minorHAnsi" w:eastAsiaTheme="minorHAnsi" w:hAnsiTheme="minorHAnsi" w:cstheme="minorHAnsi"/>
                <w:sz w:val="20"/>
              </w:rPr>
              <w:t xml:space="preserve"> March 2025.</w:t>
            </w:r>
          </w:p>
        </w:tc>
        <w:tc>
          <w:tcPr>
            <w:tcW w:w="1741" w:type="pct"/>
            <w:shd w:val="clear" w:color="auto" w:fill="auto"/>
            <w:vAlign w:val="center"/>
          </w:tcPr>
          <w:p w14:paraId="131E0A90" w14:textId="77777777" w:rsidR="00710601" w:rsidRPr="001D0C1A" w:rsidRDefault="00710601" w:rsidP="00710601">
            <w:pPr>
              <w:spacing w:before="120" w:after="120"/>
              <w:jc w:val="both"/>
              <w:rPr>
                <w:rFonts w:asciiTheme="minorHAnsi" w:eastAsiaTheme="minorHAnsi" w:hAnsiTheme="minorHAnsi" w:cstheme="minorBidi"/>
                <w:sz w:val="20"/>
              </w:rPr>
            </w:pPr>
            <w:r w:rsidRPr="001D0C1A">
              <w:rPr>
                <w:rFonts w:asciiTheme="minorHAnsi" w:eastAsiaTheme="minorHAnsi" w:hAnsiTheme="minorHAnsi" w:cstheme="minorBidi"/>
                <w:sz w:val="20"/>
              </w:rPr>
              <w:t xml:space="preserve">Reducing the course length of antimicrobial prescribing has recently been highlighted by NHS England in the </w:t>
            </w:r>
            <w:hyperlink r:id="rId31" w:history="1">
              <w:r w:rsidRPr="001D0C1A">
                <w:rPr>
                  <w:rFonts w:asciiTheme="minorHAnsi" w:eastAsiaTheme="minorHAnsi" w:hAnsiTheme="minorHAnsi" w:cstheme="minorBidi"/>
                  <w:color w:val="0000FF" w:themeColor="hyperlink"/>
                  <w:sz w:val="20"/>
                  <w:u w:val="single"/>
                </w:rPr>
                <w:t>Medicines Optimisation Opportunities 2023/24</w:t>
              </w:r>
            </w:hyperlink>
            <w:r w:rsidRPr="001D0C1A">
              <w:rPr>
                <w:rFonts w:asciiTheme="minorHAnsi" w:eastAsiaTheme="minorHAnsi" w:hAnsiTheme="minorHAnsi" w:cstheme="minorBidi"/>
                <w:sz w:val="20"/>
                <w:vertAlign w:val="superscript"/>
              </w:rPr>
              <w:t>7</w:t>
            </w:r>
            <w:r w:rsidRPr="001D0C1A">
              <w:rPr>
                <w:rFonts w:asciiTheme="minorHAnsi" w:eastAsiaTheme="minorHAnsi" w:hAnsiTheme="minorHAnsi" w:cstheme="minorBidi"/>
                <w:sz w:val="20"/>
              </w:rPr>
              <w:t xml:space="preserve"> guidance.</w:t>
            </w:r>
          </w:p>
          <w:p w14:paraId="0287F7CE" w14:textId="77777777" w:rsidR="00710601" w:rsidRPr="001D0C1A" w:rsidRDefault="00710601" w:rsidP="00710601">
            <w:pPr>
              <w:spacing w:before="120" w:after="120"/>
              <w:jc w:val="both"/>
              <w:rPr>
                <w:rFonts w:asciiTheme="minorHAnsi" w:eastAsiaTheme="minorHAnsi" w:hAnsiTheme="minorHAnsi" w:cstheme="minorBidi"/>
                <w:sz w:val="20"/>
              </w:rPr>
            </w:pPr>
            <w:r w:rsidRPr="001D0C1A">
              <w:rPr>
                <w:rFonts w:asciiTheme="minorHAnsi" w:eastAsiaTheme="minorHAnsi" w:hAnsiTheme="minorHAnsi" w:cstheme="minorBidi"/>
                <w:sz w:val="20"/>
              </w:rPr>
              <w:t xml:space="preserve">Unnecessarily long courses of antimicrobials are one of the factors driving antimicrobial resistance and an increased risk of </w:t>
            </w:r>
            <w:r w:rsidRPr="001D0C1A">
              <w:rPr>
                <w:rFonts w:asciiTheme="minorHAnsi" w:eastAsiaTheme="minorHAnsi" w:hAnsiTheme="minorHAnsi" w:cstheme="minorBidi"/>
                <w:i/>
                <w:iCs/>
                <w:sz w:val="20"/>
              </w:rPr>
              <w:t>Clostridioides difficile</w:t>
            </w:r>
            <w:r w:rsidRPr="001D0C1A">
              <w:rPr>
                <w:rFonts w:asciiTheme="minorHAnsi" w:eastAsiaTheme="minorHAnsi" w:hAnsiTheme="minorHAnsi" w:cstheme="minorBidi"/>
                <w:sz w:val="20"/>
              </w:rPr>
              <w:t xml:space="preserve"> infection in at-risk populations.  </w:t>
            </w:r>
          </w:p>
          <w:p w14:paraId="354554C1" w14:textId="353A43DF" w:rsidR="00710601" w:rsidRPr="001D0C1A" w:rsidRDefault="00710601" w:rsidP="00710601">
            <w:pPr>
              <w:spacing w:before="120" w:after="120"/>
              <w:jc w:val="both"/>
              <w:rPr>
                <w:rFonts w:asciiTheme="minorHAnsi" w:hAnsiTheme="minorHAnsi" w:cstheme="minorHAnsi"/>
                <w:sz w:val="20"/>
              </w:rPr>
            </w:pPr>
            <w:r w:rsidRPr="001D0C1A">
              <w:rPr>
                <w:rFonts w:asciiTheme="minorHAnsi" w:eastAsiaTheme="minorHAnsi" w:hAnsiTheme="minorHAnsi" w:cstheme="minorBidi"/>
                <w:sz w:val="20"/>
              </w:rPr>
              <w:t>“Each additional day of antibiotic therapy is associated with a 4% increase in risk of side effects and a 3% increase in risk of resistance”.</w:t>
            </w:r>
            <w:r w:rsidRPr="001D0C1A">
              <w:rPr>
                <w:rFonts w:asciiTheme="minorHAnsi" w:eastAsiaTheme="minorHAnsi" w:hAnsiTheme="minorHAnsi" w:cstheme="minorBidi"/>
                <w:sz w:val="20"/>
                <w:vertAlign w:val="superscript"/>
              </w:rPr>
              <w:t>9</w:t>
            </w:r>
          </w:p>
        </w:tc>
        <w:tc>
          <w:tcPr>
            <w:tcW w:w="1342" w:type="pct"/>
          </w:tcPr>
          <w:p w14:paraId="4475F84A" w14:textId="77777777" w:rsidR="004E4060" w:rsidRDefault="004E4060" w:rsidP="004E4060">
            <w:pPr>
              <w:spacing w:before="120" w:after="120"/>
              <w:jc w:val="both"/>
              <w:rPr>
                <w:rFonts w:asciiTheme="minorHAnsi" w:eastAsiaTheme="minorHAnsi" w:hAnsiTheme="minorHAnsi" w:cs="Arial"/>
                <w:sz w:val="20"/>
              </w:rPr>
            </w:pPr>
            <w:r w:rsidRPr="001D0C1A">
              <w:rPr>
                <w:rFonts w:asciiTheme="minorHAnsi" w:eastAsiaTheme="minorHAnsi" w:hAnsiTheme="minorHAnsi" w:cs="Arial"/>
                <w:sz w:val="20"/>
              </w:rPr>
              <w:t xml:space="preserve">This is one of the </w:t>
            </w:r>
            <w:hyperlink r:id="rId32" w:history="1">
              <w:r w:rsidRPr="001D0C1A">
                <w:rPr>
                  <w:rStyle w:val="Hyperlink"/>
                  <w:rFonts w:asciiTheme="minorHAnsi" w:eastAsiaTheme="minorHAnsi" w:hAnsiTheme="minorHAnsi" w:cs="Arial"/>
                  <w:sz w:val="20"/>
                </w:rPr>
                <w:t>national medicines optimisation opportunities</w:t>
              </w:r>
            </w:hyperlink>
            <w:r w:rsidRPr="001D0C1A">
              <w:rPr>
                <w:rFonts w:asciiTheme="minorHAnsi" w:eastAsiaTheme="minorHAnsi" w:hAnsiTheme="minorHAnsi" w:cs="Arial"/>
                <w:sz w:val="20"/>
              </w:rPr>
              <w:t xml:space="preserve"> identified.</w:t>
            </w:r>
          </w:p>
          <w:p w14:paraId="2EB78A5B" w14:textId="00564267" w:rsidR="00710601" w:rsidRDefault="001D0C1A" w:rsidP="00A2488F">
            <w:pPr>
              <w:spacing w:before="120" w:after="120"/>
              <w:jc w:val="both"/>
              <w:rPr>
                <w:rFonts w:ascii="Calibri" w:hAnsi="Calibri" w:cs="Calibri"/>
                <w:color w:val="000000"/>
                <w:sz w:val="20"/>
                <w:lang w:eastAsia="en-GB"/>
              </w:rPr>
            </w:pPr>
            <w:r w:rsidRPr="00696D28">
              <w:rPr>
                <w:rFonts w:ascii="Calibri" w:hAnsi="Calibri" w:cs="Calibri"/>
                <w:color w:val="000000"/>
                <w:sz w:val="20"/>
                <w:lang w:eastAsia="en-GB"/>
              </w:rPr>
              <w:t xml:space="preserve">Primary Care guidelines used across BOB - </w:t>
            </w:r>
            <w:hyperlink r:id="rId33" w:history="1">
              <w:r w:rsidRPr="00696D28">
                <w:rPr>
                  <w:rStyle w:val="Hyperlink"/>
                  <w:rFonts w:ascii="Calibri" w:hAnsi="Calibri" w:cs="Calibri"/>
                  <w:sz w:val="20"/>
                  <w:lang w:eastAsia="en-GB"/>
                </w:rPr>
                <w:t>SCAN Guidelines</w:t>
              </w:r>
            </w:hyperlink>
            <w:r>
              <w:rPr>
                <w:rFonts w:ascii="Calibri" w:hAnsi="Calibri" w:cs="Calibri"/>
                <w:color w:val="000000"/>
                <w:sz w:val="20"/>
                <w:lang w:eastAsia="en-GB"/>
              </w:rPr>
              <w:t>.</w:t>
            </w:r>
          </w:p>
          <w:p w14:paraId="726609E1" w14:textId="4F95ECC1" w:rsidR="004E4060" w:rsidRPr="004E4060" w:rsidRDefault="004E4060" w:rsidP="00A2488F">
            <w:pPr>
              <w:spacing w:before="120" w:after="120"/>
              <w:jc w:val="both"/>
              <w:rPr>
                <w:rFonts w:ascii="Calibri" w:eastAsiaTheme="minorHAnsi" w:hAnsi="Calibri" w:cs="Calibri"/>
                <w:color w:val="000000"/>
                <w:sz w:val="20"/>
              </w:rPr>
            </w:pPr>
            <w:r>
              <w:rPr>
                <w:rFonts w:ascii="Calibri" w:eastAsiaTheme="minorHAnsi" w:hAnsi="Calibri" w:cs="Calibri"/>
                <w:color w:val="000000"/>
                <w:sz w:val="20"/>
              </w:rPr>
              <w:t xml:space="preserve">As per </w:t>
            </w:r>
            <w:hyperlink r:id="rId34" w:history="1">
              <w:r w:rsidRPr="004E4060">
                <w:rPr>
                  <w:rStyle w:val="Hyperlink"/>
                  <w:rFonts w:ascii="Calibri" w:eastAsiaTheme="minorHAnsi" w:hAnsi="Calibri" w:cs="Calibri"/>
                  <w:sz w:val="20"/>
                </w:rPr>
                <w:t>Pharmacy First</w:t>
              </w:r>
            </w:hyperlink>
            <w:r>
              <w:rPr>
                <w:rFonts w:ascii="Calibri" w:eastAsiaTheme="minorHAnsi" w:hAnsi="Calibri" w:cs="Calibri"/>
                <w:color w:val="000000"/>
                <w:sz w:val="20"/>
              </w:rPr>
              <w:t xml:space="preserve"> acute otitis media clinical pathway the amoxicillin treatment duration is 5 days.</w:t>
            </w:r>
          </w:p>
          <w:p w14:paraId="3FD131FA" w14:textId="45A8973B" w:rsidR="001D0C1A" w:rsidRPr="004E4060" w:rsidRDefault="001D0C1A" w:rsidP="004E4060">
            <w:pPr>
              <w:autoSpaceDE w:val="0"/>
              <w:autoSpaceDN w:val="0"/>
              <w:adjustRightInd w:val="0"/>
              <w:rPr>
                <w:rFonts w:ascii="Calibri" w:hAnsi="Calibri" w:cs="Calibri"/>
                <w:color w:val="000000"/>
                <w:sz w:val="20"/>
                <w:lang w:eastAsia="en-GB"/>
              </w:rPr>
            </w:pPr>
            <w:r w:rsidRPr="001D0C1A">
              <w:rPr>
                <w:rFonts w:ascii="Calibri" w:hAnsi="Calibri" w:cs="Calibri"/>
                <w:color w:val="000000"/>
                <w:sz w:val="20"/>
                <w:lang w:eastAsia="en-GB"/>
              </w:rPr>
              <w:t>Sign up to be an Antibiotic Guardian</w:t>
            </w:r>
            <w:r>
              <w:rPr>
                <w:rFonts w:ascii="Calibri" w:hAnsi="Calibri" w:cs="Calibri"/>
                <w:color w:val="000000"/>
                <w:sz w:val="20"/>
                <w:lang w:eastAsia="en-GB"/>
              </w:rPr>
              <w:t xml:space="preserve"> </w:t>
            </w:r>
            <w:hyperlink r:id="rId35" w:history="1">
              <w:r w:rsidRPr="001D0C1A">
                <w:rPr>
                  <w:rStyle w:val="Hyperlink"/>
                  <w:rFonts w:ascii="Calibri" w:hAnsi="Calibri" w:cs="Calibri"/>
                  <w:sz w:val="20"/>
                  <w:lang w:eastAsia="en-GB"/>
                </w:rPr>
                <w:t>https://antibioticguardian.com/</w:t>
              </w:r>
            </w:hyperlink>
            <w:r w:rsidRPr="001D0C1A">
              <w:rPr>
                <w:rFonts w:ascii="Calibri" w:hAnsi="Calibri" w:cs="Calibri"/>
                <w:color w:val="000000"/>
                <w:sz w:val="20"/>
                <w:lang w:eastAsia="en-GB"/>
              </w:rPr>
              <w:t xml:space="preserve"> </w:t>
            </w:r>
          </w:p>
        </w:tc>
      </w:tr>
    </w:tbl>
    <w:p w14:paraId="2FEDE679" w14:textId="77777777" w:rsidR="00F24FA6" w:rsidRPr="00AA748F" w:rsidRDefault="00F24FA6" w:rsidP="00AA748F">
      <w:pPr>
        <w:rPr>
          <w:rFonts w:asciiTheme="minorHAnsi" w:hAnsiTheme="minorHAnsi" w:cstheme="minorHAnsi"/>
          <w:b/>
          <w:sz w:val="10"/>
          <w:szCs w:val="6"/>
        </w:rPr>
      </w:pPr>
    </w:p>
    <w:p w14:paraId="03DAD1EA" w14:textId="079F7E4D" w:rsidR="00EB6491" w:rsidRPr="00F35A73" w:rsidRDefault="00EB6491" w:rsidP="0039485E">
      <w:pPr>
        <w:spacing w:after="120"/>
        <w:rPr>
          <w:rFonts w:asciiTheme="minorHAnsi" w:hAnsiTheme="minorHAnsi" w:cstheme="minorHAnsi"/>
          <w:b/>
          <w:bCs/>
          <w:sz w:val="28"/>
          <w:szCs w:val="22"/>
          <w:u w:val="single"/>
        </w:rPr>
      </w:pPr>
      <w:r w:rsidRPr="00F35A73">
        <w:rPr>
          <w:rFonts w:asciiTheme="minorHAnsi" w:hAnsiTheme="minorHAnsi" w:cstheme="minorHAnsi"/>
          <w:b/>
          <w:bCs/>
          <w:sz w:val="28"/>
          <w:szCs w:val="22"/>
          <w:u w:val="single"/>
        </w:rPr>
        <w:t>References</w:t>
      </w:r>
    </w:p>
    <w:p w14:paraId="374DCD2E" w14:textId="6993516E" w:rsidR="00DA3573" w:rsidRPr="00F35A73" w:rsidRDefault="00DA3573" w:rsidP="00AA748F">
      <w:pPr>
        <w:pStyle w:val="ListParagraph"/>
        <w:keepNext/>
        <w:keepLines/>
        <w:numPr>
          <w:ilvl w:val="0"/>
          <w:numId w:val="42"/>
        </w:numPr>
        <w:ind w:left="567" w:hanging="357"/>
        <w:outlineLvl w:val="4"/>
        <w:rPr>
          <w:rFonts w:asciiTheme="minorHAnsi" w:eastAsiaTheme="majorEastAsia" w:hAnsiTheme="minorHAnsi" w:cstheme="minorHAnsi"/>
          <w:color w:val="365F91" w:themeColor="accent1" w:themeShade="BF"/>
          <w:sz w:val="20"/>
        </w:rPr>
      </w:pPr>
      <w:r w:rsidRPr="00F35A73">
        <w:rPr>
          <w:rFonts w:asciiTheme="minorHAnsi" w:hAnsiTheme="minorHAnsi" w:cstheme="minorHAnsi"/>
          <w:color w:val="365F91" w:themeColor="accent1" w:themeShade="BF"/>
          <w:sz w:val="20"/>
        </w:rPr>
        <w:t xml:space="preserve">BOB ICB </w:t>
      </w:r>
      <w:r w:rsidRPr="00F35A73">
        <w:rPr>
          <w:rFonts w:asciiTheme="minorHAnsi" w:hAnsiTheme="minorHAnsi" w:cstheme="minorHAnsi"/>
          <w:color w:val="365F91" w:themeColor="accent1" w:themeShade="BF"/>
          <w:sz w:val="20"/>
          <w:shd w:val="clear" w:color="auto" w:fill="FFFFFF"/>
        </w:rPr>
        <w:t>Adult Oral Nutritional Supplement (ONS) and Tube Feed Formulary</w:t>
      </w:r>
      <w:r w:rsidRPr="00F35A73">
        <w:rPr>
          <w:rFonts w:asciiTheme="minorHAnsi" w:hAnsiTheme="minorHAnsi" w:cstheme="minorHAnsi"/>
          <w:color w:val="365F91" w:themeColor="accent1" w:themeShade="BF"/>
          <w:sz w:val="20"/>
        </w:rPr>
        <w:t xml:space="preserve">  Version 1.1, July 2023  </w:t>
      </w:r>
      <w:hyperlink r:id="rId36" w:history="1">
        <w:r w:rsidRPr="00F35A73">
          <w:rPr>
            <w:rStyle w:val="Hyperlink"/>
            <w:rFonts w:asciiTheme="minorHAnsi" w:hAnsiTheme="minorHAnsi" w:cstheme="minorHAnsi"/>
            <w:sz w:val="20"/>
          </w:rPr>
          <w:t>https://clinox.info/clinical-support/local-pathways-and-guidelines/Clinical%20Guidelines/BOB%20ICB%20Adult%20Oral%20Nutritional%20Supplement%20and%20Tube%20Feed%20Formulary.pdf</w:t>
        </w:r>
      </w:hyperlink>
      <w:r w:rsidRPr="00F35A73">
        <w:rPr>
          <w:rFonts w:asciiTheme="minorHAnsi" w:hAnsiTheme="minorHAnsi" w:cstheme="minorHAnsi"/>
          <w:sz w:val="20"/>
        </w:rPr>
        <w:t xml:space="preserve">  </w:t>
      </w:r>
      <w:r w:rsidRPr="00F35A73">
        <w:rPr>
          <w:rFonts w:asciiTheme="minorHAnsi" w:hAnsiTheme="minorHAnsi" w:cstheme="minorHAnsi"/>
          <w:color w:val="365F91" w:themeColor="accent1" w:themeShade="BF"/>
          <w:sz w:val="20"/>
        </w:rPr>
        <w:t>(accessed 29/1/2024)</w:t>
      </w:r>
    </w:p>
    <w:p w14:paraId="1398A600" w14:textId="37577972" w:rsidR="00DA3573" w:rsidRPr="00F35A73" w:rsidRDefault="00DA3573" w:rsidP="00AA748F">
      <w:pPr>
        <w:pStyle w:val="ListParagraph"/>
        <w:keepNext/>
        <w:keepLines/>
        <w:numPr>
          <w:ilvl w:val="0"/>
          <w:numId w:val="42"/>
        </w:numPr>
        <w:spacing w:line="276" w:lineRule="auto"/>
        <w:ind w:left="567" w:hanging="357"/>
        <w:outlineLvl w:val="4"/>
        <w:rPr>
          <w:rFonts w:asciiTheme="minorHAnsi" w:eastAsiaTheme="majorEastAsia" w:hAnsiTheme="minorHAnsi" w:cstheme="minorHAnsi"/>
          <w:color w:val="365F91" w:themeColor="accent1" w:themeShade="BF"/>
          <w:sz w:val="20"/>
        </w:rPr>
      </w:pPr>
      <w:r w:rsidRPr="00F35A73">
        <w:rPr>
          <w:rFonts w:asciiTheme="minorHAnsi" w:eastAsiaTheme="majorEastAsia" w:hAnsiTheme="minorHAnsi" w:cstheme="minorHAnsi"/>
          <w:color w:val="365F91" w:themeColor="accent1" w:themeShade="BF"/>
          <w:sz w:val="20"/>
        </w:rPr>
        <w:t xml:space="preserve">NHSE Digital service to manage high-risk chronic obstructive pulmonary disease (COPD) patients </w:t>
      </w:r>
      <w:hyperlink r:id="rId37" w:history="1">
        <w:r w:rsidRPr="00F35A73">
          <w:rPr>
            <w:rFonts w:asciiTheme="minorHAnsi" w:eastAsiaTheme="majorEastAsia" w:hAnsiTheme="minorHAnsi" w:cstheme="minorHAnsi"/>
            <w:color w:val="0000FF" w:themeColor="hyperlink"/>
            <w:sz w:val="20"/>
            <w:u w:val="single"/>
          </w:rPr>
          <w:t>Digital service to manage high-risk chronic obstructive pulmonary disease (COPD) patients - Respiratory digital playbook - NHS Transformation Directorate (england.nhs.uk)</w:t>
        </w:r>
      </w:hyperlink>
      <w:r w:rsidRPr="00F35A73">
        <w:rPr>
          <w:rFonts w:asciiTheme="minorHAnsi" w:eastAsiaTheme="majorEastAsia" w:hAnsiTheme="minorHAnsi" w:cstheme="minorHAnsi"/>
          <w:color w:val="365F91" w:themeColor="accent1" w:themeShade="BF"/>
          <w:sz w:val="20"/>
        </w:rPr>
        <w:t xml:space="preserve"> (accessed 28/12/2023)</w:t>
      </w:r>
    </w:p>
    <w:p w14:paraId="1583DD5E" w14:textId="091206B9" w:rsidR="00514313" w:rsidRPr="00F35A73" w:rsidRDefault="006D5825" w:rsidP="00AA748F">
      <w:pPr>
        <w:pStyle w:val="ListParagraph"/>
        <w:keepNext/>
        <w:keepLines/>
        <w:numPr>
          <w:ilvl w:val="0"/>
          <w:numId w:val="42"/>
        </w:numPr>
        <w:spacing w:line="276" w:lineRule="auto"/>
        <w:ind w:left="567" w:hanging="357"/>
        <w:outlineLvl w:val="4"/>
        <w:rPr>
          <w:rFonts w:asciiTheme="minorHAnsi" w:eastAsiaTheme="majorEastAsia" w:hAnsiTheme="minorHAnsi" w:cstheme="minorHAnsi"/>
          <w:color w:val="365F91" w:themeColor="accent1" w:themeShade="BF"/>
          <w:sz w:val="20"/>
        </w:rPr>
      </w:pPr>
      <w:r w:rsidRPr="00F35A73">
        <w:rPr>
          <w:rFonts w:asciiTheme="minorHAnsi" w:eastAsiaTheme="majorEastAsia" w:hAnsiTheme="minorHAnsi" w:cstheme="minorHAnsi"/>
          <w:color w:val="365F91" w:themeColor="accent1" w:themeShade="BF"/>
          <w:sz w:val="20"/>
        </w:rPr>
        <w:t>NHS Long Term Plan, published 7 January 2019</w:t>
      </w:r>
      <w:r w:rsidR="00D05DA1" w:rsidRPr="00F35A73">
        <w:rPr>
          <w:rFonts w:asciiTheme="minorHAnsi" w:eastAsiaTheme="majorEastAsia" w:hAnsiTheme="minorHAnsi" w:cstheme="minorHAnsi"/>
          <w:color w:val="365F91" w:themeColor="accent1" w:themeShade="BF"/>
          <w:sz w:val="20"/>
        </w:rPr>
        <w:t xml:space="preserve"> </w:t>
      </w:r>
      <w:hyperlink r:id="rId38" w:history="1">
        <w:r w:rsidR="00D05DA1" w:rsidRPr="00F35A73">
          <w:rPr>
            <w:rStyle w:val="Hyperlink"/>
            <w:rFonts w:asciiTheme="minorHAnsi" w:eastAsiaTheme="majorEastAsia" w:hAnsiTheme="minorHAnsi" w:cstheme="minorHAnsi"/>
            <w:sz w:val="20"/>
          </w:rPr>
          <w:t>https://www.longtermplan.nhs.uk/areas-of-work/</w:t>
        </w:r>
      </w:hyperlink>
      <w:r w:rsidR="00514313" w:rsidRPr="00F35A73">
        <w:rPr>
          <w:rFonts w:asciiTheme="minorHAnsi" w:eastAsiaTheme="majorEastAsia" w:hAnsiTheme="minorHAnsi" w:cstheme="minorHAnsi"/>
          <w:color w:val="365F91" w:themeColor="accent1" w:themeShade="BF"/>
          <w:sz w:val="20"/>
        </w:rPr>
        <w:t xml:space="preserve"> (accessed 29/1/2024)</w:t>
      </w:r>
    </w:p>
    <w:p w14:paraId="5A61A4EA" w14:textId="0EF3DAC3" w:rsidR="006D5825" w:rsidRPr="00F35A73" w:rsidRDefault="006D5825" w:rsidP="00AA748F">
      <w:pPr>
        <w:pStyle w:val="ListParagraph"/>
        <w:numPr>
          <w:ilvl w:val="0"/>
          <w:numId w:val="42"/>
        </w:numPr>
        <w:spacing w:line="276" w:lineRule="auto"/>
        <w:ind w:left="567" w:hanging="357"/>
        <w:rPr>
          <w:rFonts w:asciiTheme="minorHAnsi" w:eastAsiaTheme="majorEastAsia" w:hAnsiTheme="minorHAnsi" w:cstheme="minorHAnsi"/>
          <w:color w:val="365F91" w:themeColor="accent1" w:themeShade="BF"/>
          <w:sz w:val="20"/>
        </w:rPr>
      </w:pPr>
      <w:r w:rsidRPr="00F35A73">
        <w:rPr>
          <w:rFonts w:asciiTheme="minorHAnsi" w:eastAsiaTheme="majorEastAsia" w:hAnsiTheme="minorHAnsi" w:cstheme="minorHAnsi"/>
          <w:color w:val="365F91" w:themeColor="accent1" w:themeShade="BF"/>
          <w:sz w:val="20"/>
        </w:rPr>
        <w:t xml:space="preserve">Cardiovascular Disease Prevention Audit (CVDPREVENT) national data and improvement tool </w:t>
      </w:r>
      <w:hyperlink r:id="rId39" w:history="1">
        <w:r w:rsidR="00D05DA1" w:rsidRPr="00F35A73">
          <w:rPr>
            <w:rStyle w:val="Hyperlink"/>
            <w:rFonts w:asciiTheme="minorHAnsi" w:eastAsiaTheme="majorEastAsia" w:hAnsiTheme="minorHAnsi" w:cstheme="minorHAnsi"/>
            <w:sz w:val="20"/>
          </w:rPr>
          <w:t>https://www.cvdprevent.nhs.uk/dataexplorer?period=10&amp;level=7&amp;area=8058&amp;indicator=23</w:t>
        </w:r>
      </w:hyperlink>
      <w:r w:rsidR="00D57708" w:rsidRPr="00F35A73">
        <w:rPr>
          <w:rFonts w:asciiTheme="minorHAnsi" w:eastAsiaTheme="majorEastAsia" w:hAnsiTheme="minorHAnsi" w:cstheme="minorHAnsi"/>
          <w:color w:val="365F91" w:themeColor="accent1" w:themeShade="BF"/>
          <w:sz w:val="20"/>
        </w:rPr>
        <w:t xml:space="preserve"> </w:t>
      </w:r>
      <w:r w:rsidRPr="00F35A73">
        <w:rPr>
          <w:rFonts w:asciiTheme="minorHAnsi" w:eastAsiaTheme="majorEastAsia" w:hAnsiTheme="minorHAnsi" w:cstheme="minorHAnsi"/>
          <w:color w:val="365F91" w:themeColor="accent1" w:themeShade="BF"/>
          <w:sz w:val="20"/>
        </w:rPr>
        <w:t>(accessed 15/1/2024)</w:t>
      </w:r>
    </w:p>
    <w:p w14:paraId="63353278" w14:textId="44711468" w:rsidR="00D57708" w:rsidRPr="00F35A73" w:rsidRDefault="00D57708" w:rsidP="00AA748F">
      <w:pPr>
        <w:pStyle w:val="ListParagraph"/>
        <w:numPr>
          <w:ilvl w:val="0"/>
          <w:numId w:val="42"/>
        </w:numPr>
        <w:spacing w:line="276" w:lineRule="auto"/>
        <w:ind w:left="567" w:hanging="357"/>
        <w:rPr>
          <w:rFonts w:asciiTheme="minorHAnsi" w:eastAsiaTheme="majorEastAsia" w:hAnsiTheme="minorHAnsi" w:cstheme="minorHAnsi"/>
          <w:color w:val="365F91" w:themeColor="accent1" w:themeShade="BF"/>
          <w:sz w:val="20"/>
        </w:rPr>
      </w:pPr>
      <w:r w:rsidRPr="00F35A73">
        <w:rPr>
          <w:rFonts w:asciiTheme="minorHAnsi" w:eastAsiaTheme="majorEastAsia" w:hAnsiTheme="minorHAnsi" w:cstheme="minorHAnsi"/>
          <w:color w:val="365F91" w:themeColor="accent1" w:themeShade="BF"/>
          <w:sz w:val="20"/>
        </w:rPr>
        <w:t xml:space="preserve">National Review of Asthma Deaths (NRAD) report </w:t>
      </w:r>
      <w:hyperlink r:id="rId40" w:history="1">
        <w:r w:rsidR="00D05DA1" w:rsidRPr="00F35A73">
          <w:rPr>
            <w:rStyle w:val="Hyperlink"/>
            <w:rFonts w:asciiTheme="minorHAnsi" w:eastAsiaTheme="majorEastAsia" w:hAnsiTheme="minorHAnsi" w:cstheme="minorHAnsi"/>
            <w:sz w:val="20"/>
          </w:rPr>
          <w:t>https://www.rcplondon.ac.uk/projects/national-review-asthma-deaths</w:t>
        </w:r>
      </w:hyperlink>
      <w:r w:rsidRPr="00F35A73">
        <w:rPr>
          <w:rFonts w:asciiTheme="minorHAnsi" w:eastAsiaTheme="majorEastAsia" w:hAnsiTheme="minorHAnsi" w:cstheme="minorHAnsi"/>
          <w:color w:val="365F91" w:themeColor="accent1" w:themeShade="BF"/>
          <w:sz w:val="20"/>
        </w:rPr>
        <w:t xml:space="preserve">  (accessed 28/12/2023)</w:t>
      </w:r>
    </w:p>
    <w:p w14:paraId="09899888" w14:textId="237EEA4F" w:rsidR="00C05BCC" w:rsidRPr="00F35A73" w:rsidRDefault="00C05BCC" w:rsidP="00AA748F">
      <w:pPr>
        <w:pStyle w:val="ListParagraph"/>
        <w:numPr>
          <w:ilvl w:val="0"/>
          <w:numId w:val="42"/>
        </w:numPr>
        <w:spacing w:line="276" w:lineRule="auto"/>
        <w:ind w:left="567" w:hanging="357"/>
        <w:rPr>
          <w:rFonts w:asciiTheme="minorHAnsi" w:eastAsiaTheme="majorEastAsia" w:hAnsiTheme="minorHAnsi" w:cstheme="minorHAnsi"/>
          <w:color w:val="365F91" w:themeColor="accent1" w:themeShade="BF"/>
          <w:sz w:val="20"/>
        </w:rPr>
      </w:pPr>
      <w:r w:rsidRPr="00F35A73">
        <w:rPr>
          <w:rFonts w:asciiTheme="minorHAnsi" w:eastAsiaTheme="majorEastAsia" w:hAnsiTheme="minorHAnsi" w:cstheme="minorHAnsi"/>
          <w:color w:val="365F91" w:themeColor="accent1" w:themeShade="BF"/>
          <w:sz w:val="20"/>
        </w:rPr>
        <w:t xml:space="preserve">NICE guideline 28 Type 2 diabetes in adults: management </w:t>
      </w:r>
      <w:hyperlink r:id="rId41" w:history="1">
        <w:r w:rsidR="00D05DA1" w:rsidRPr="00F35A73">
          <w:rPr>
            <w:rStyle w:val="Hyperlink"/>
            <w:rFonts w:asciiTheme="minorHAnsi" w:eastAsiaTheme="majorEastAsia" w:hAnsiTheme="minorHAnsi" w:cstheme="minorHAnsi"/>
            <w:sz w:val="20"/>
          </w:rPr>
          <w:t>https://www.nice.org.uk/guidance/ng28</w:t>
        </w:r>
      </w:hyperlink>
      <w:r w:rsidRPr="00F35A73">
        <w:rPr>
          <w:rFonts w:asciiTheme="minorHAnsi" w:eastAsiaTheme="majorEastAsia" w:hAnsiTheme="minorHAnsi" w:cstheme="minorHAnsi"/>
          <w:color w:val="365F91" w:themeColor="accent1" w:themeShade="BF"/>
          <w:sz w:val="20"/>
        </w:rPr>
        <w:t xml:space="preserve"> (accessed 28/12/2023)</w:t>
      </w:r>
    </w:p>
    <w:p w14:paraId="4C750B13" w14:textId="10349BB8" w:rsidR="00C05BCC" w:rsidRPr="00F35A73" w:rsidRDefault="00C05BCC" w:rsidP="00AA748F">
      <w:pPr>
        <w:pStyle w:val="ListParagraph"/>
        <w:numPr>
          <w:ilvl w:val="0"/>
          <w:numId w:val="42"/>
        </w:numPr>
        <w:spacing w:line="276" w:lineRule="auto"/>
        <w:ind w:left="567" w:hanging="357"/>
        <w:rPr>
          <w:rFonts w:asciiTheme="minorHAnsi" w:eastAsiaTheme="majorEastAsia" w:hAnsiTheme="minorHAnsi" w:cstheme="minorHAnsi"/>
          <w:color w:val="365F91" w:themeColor="accent1" w:themeShade="BF"/>
          <w:sz w:val="20"/>
        </w:rPr>
      </w:pPr>
      <w:r w:rsidRPr="00F35A73">
        <w:rPr>
          <w:rFonts w:asciiTheme="minorHAnsi" w:eastAsiaTheme="majorEastAsia" w:hAnsiTheme="minorHAnsi" w:cstheme="minorHAnsi"/>
          <w:color w:val="365F91" w:themeColor="accent1" w:themeShade="BF"/>
          <w:sz w:val="20"/>
        </w:rPr>
        <w:t xml:space="preserve">GP evidence website </w:t>
      </w:r>
      <w:hyperlink r:id="rId42" w:history="1">
        <w:r w:rsidR="00D05DA1" w:rsidRPr="00F35A73">
          <w:rPr>
            <w:rStyle w:val="Hyperlink"/>
            <w:rFonts w:asciiTheme="minorHAnsi" w:eastAsiaTheme="majorEastAsia" w:hAnsiTheme="minorHAnsi" w:cstheme="minorHAnsi"/>
            <w:sz w:val="20"/>
          </w:rPr>
          <w:t>https://gpevidence.org</w:t>
        </w:r>
      </w:hyperlink>
      <w:r w:rsidRPr="00F35A73">
        <w:rPr>
          <w:rFonts w:asciiTheme="minorHAnsi" w:eastAsiaTheme="majorEastAsia" w:hAnsiTheme="minorHAnsi" w:cstheme="minorHAnsi"/>
          <w:color w:val="365F91" w:themeColor="accent1" w:themeShade="BF"/>
          <w:sz w:val="20"/>
        </w:rPr>
        <w:t xml:space="preserve"> (accessed 28/12/2023)</w:t>
      </w:r>
    </w:p>
    <w:p w14:paraId="72912952" w14:textId="77777777" w:rsidR="00AA748F" w:rsidRDefault="00C05BCC" w:rsidP="00AA748F">
      <w:pPr>
        <w:pStyle w:val="ListParagraph"/>
        <w:numPr>
          <w:ilvl w:val="0"/>
          <w:numId w:val="42"/>
        </w:numPr>
        <w:spacing w:line="276" w:lineRule="auto"/>
        <w:ind w:left="567" w:hanging="357"/>
        <w:rPr>
          <w:rFonts w:asciiTheme="minorHAnsi" w:eastAsiaTheme="majorEastAsia" w:hAnsiTheme="minorHAnsi" w:cstheme="minorHAnsi"/>
          <w:color w:val="365F91" w:themeColor="accent1" w:themeShade="BF"/>
          <w:sz w:val="20"/>
        </w:rPr>
      </w:pPr>
      <w:r w:rsidRPr="00F35A73">
        <w:rPr>
          <w:rFonts w:asciiTheme="minorHAnsi" w:eastAsiaTheme="majorEastAsia" w:hAnsiTheme="minorHAnsi" w:cstheme="minorHAnsi"/>
          <w:color w:val="365F91" w:themeColor="accent1" w:themeShade="BF"/>
          <w:sz w:val="20"/>
        </w:rPr>
        <w:t xml:space="preserve">NHS England National Medicines Optimisation Opportunities, published 31 July 2023 </w:t>
      </w:r>
      <w:hyperlink r:id="rId43" w:history="1">
        <w:r w:rsidR="00D05DA1" w:rsidRPr="00F35A73">
          <w:rPr>
            <w:rStyle w:val="Hyperlink"/>
            <w:rFonts w:asciiTheme="minorHAnsi" w:eastAsiaTheme="majorEastAsia" w:hAnsiTheme="minorHAnsi" w:cstheme="minorHAnsi"/>
            <w:sz w:val="20"/>
          </w:rPr>
          <w:t>https://www.england.nhs.uk/long-read/national-medicines-optimisation-opportunities-2023-24/</w:t>
        </w:r>
      </w:hyperlink>
      <w:r w:rsidRPr="00F35A73">
        <w:rPr>
          <w:rFonts w:asciiTheme="minorHAnsi" w:eastAsiaTheme="majorEastAsia" w:hAnsiTheme="minorHAnsi" w:cstheme="minorHAnsi"/>
          <w:color w:val="365F91" w:themeColor="accent1" w:themeShade="BF"/>
          <w:sz w:val="20"/>
        </w:rPr>
        <w:t xml:space="preserve">  (accessed 26/1/2024)</w:t>
      </w:r>
    </w:p>
    <w:p w14:paraId="0B7FD837" w14:textId="579B0EBC" w:rsidR="00D05DA1" w:rsidRPr="00AA748F" w:rsidRDefault="00771791" w:rsidP="00C82977">
      <w:pPr>
        <w:pStyle w:val="ListParagraph"/>
        <w:numPr>
          <w:ilvl w:val="0"/>
          <w:numId w:val="42"/>
        </w:numPr>
        <w:spacing w:line="276" w:lineRule="auto"/>
        <w:ind w:left="567" w:hanging="357"/>
        <w:rPr>
          <w:rStyle w:val="Hyperlink"/>
          <w:rFonts w:asciiTheme="minorHAnsi" w:eastAsiaTheme="majorEastAsia" w:hAnsiTheme="minorHAnsi" w:cstheme="minorHAnsi"/>
          <w:color w:val="365F91" w:themeColor="accent1" w:themeShade="BF"/>
          <w:sz w:val="20"/>
          <w:u w:val="none"/>
        </w:rPr>
      </w:pPr>
      <w:r w:rsidRPr="00AA748F">
        <w:rPr>
          <w:rFonts w:asciiTheme="minorHAnsi" w:eastAsiaTheme="majorEastAsia" w:hAnsiTheme="minorHAnsi" w:cstheme="minorHAnsi"/>
          <w:color w:val="365F91" w:themeColor="accent1" w:themeShade="BF"/>
          <w:sz w:val="20"/>
        </w:rPr>
        <w:t xml:space="preserve">Curran J et al.  Estimating daily antibiotic harms: an umbrella review with individual study meta-analysis. Clin Micro Infect. 2021 </w:t>
      </w:r>
      <w:hyperlink r:id="rId44" w:anchor=":~:text=There%20are%20well%2Dknown%2C%20quantifiable,%5B8%2C9%5D%2C%20and" w:history="1">
        <w:r w:rsidRPr="00AA748F">
          <w:rPr>
            <w:rStyle w:val="Hyperlink"/>
            <w:rFonts w:asciiTheme="minorHAnsi" w:eastAsiaTheme="majorEastAsia" w:hAnsiTheme="minorHAnsi" w:cstheme="minorHAnsi"/>
            <w:sz w:val="20"/>
          </w:rPr>
          <w:t>https://www.sciencedirect.com/science/article/abs/pii/S1198743X21006248#:~:text=There%20are%20well%2Dknown%2C%20quantifiable,%5B8%2C9%5D%2C%20and</w:t>
        </w:r>
      </w:hyperlink>
    </w:p>
    <w:sectPr w:rsidR="00D05DA1" w:rsidRPr="00AA748F" w:rsidSect="001840CE">
      <w:headerReference w:type="default" r:id="rId45"/>
      <w:footerReference w:type="default" r:id="rId46"/>
      <w:pgSz w:w="15840" w:h="12240" w:orient="landscape"/>
      <w:pgMar w:top="1134" w:right="113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A5E5" w14:textId="77777777" w:rsidR="002E3F31" w:rsidRDefault="002E3F31">
      <w:r>
        <w:separator/>
      </w:r>
    </w:p>
  </w:endnote>
  <w:endnote w:type="continuationSeparator" w:id="0">
    <w:p w14:paraId="3E716DBC" w14:textId="77777777" w:rsidR="002E3F31" w:rsidRDefault="002E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7DFA" w14:textId="2619B8D7" w:rsidR="001840CE" w:rsidRPr="001840CE" w:rsidRDefault="001840CE" w:rsidP="001840CE">
    <w:pPr>
      <w:pStyle w:val="Footer"/>
      <w:jc w:val="center"/>
      <w:rPr>
        <w:b/>
        <w:sz w:val="12"/>
        <w:szCs w:val="16"/>
      </w:rPr>
    </w:pPr>
    <w:r w:rsidRPr="001840CE">
      <w:rPr>
        <w:sz w:val="20"/>
        <w:szCs w:val="16"/>
      </w:rPr>
      <w:t>BOB ICB Prescribing Quality Scheme 2024/25 – Produced by the BOB ICB Medicines Optimisation Team.</w:t>
    </w:r>
  </w:p>
  <w:p w14:paraId="60B2AF88" w14:textId="5D4B8D6F" w:rsidR="005172E3" w:rsidRPr="00C072AD" w:rsidRDefault="005172E3" w:rsidP="005B620E">
    <w:pPr>
      <w:pStyle w:val="Footer"/>
      <w:jc w:val="cen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DB7F" w14:textId="77777777" w:rsidR="002E3F31" w:rsidRDefault="002E3F31">
      <w:r>
        <w:separator/>
      </w:r>
    </w:p>
  </w:footnote>
  <w:footnote w:type="continuationSeparator" w:id="0">
    <w:p w14:paraId="68FC3E1C" w14:textId="77777777" w:rsidR="002E3F31" w:rsidRDefault="002E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D4D1" w14:textId="717B1AE5" w:rsidR="005172E3" w:rsidRPr="00DB3DA5" w:rsidRDefault="005172E3" w:rsidP="00B30254">
    <w:pPr>
      <w:pStyle w:val="Header"/>
      <w:tabs>
        <w:tab w:val="clear" w:pos="8306"/>
        <w:tab w:val="left" w:pos="4838"/>
        <w:tab w:val="right" w:pos="9923"/>
      </w:tabs>
      <w:ind w:right="-661"/>
      <w:rPr>
        <w:b/>
      </w:rPr>
    </w:pPr>
    <w:r>
      <w:tab/>
    </w:r>
    <w:r>
      <w:tab/>
    </w:r>
    <w:r>
      <w:tab/>
    </w:r>
    <w:r w:rsidR="008E48C9">
      <w:tab/>
    </w:r>
    <w:r w:rsidR="008E48C9">
      <w:tab/>
    </w:r>
    <w:r w:rsidR="008E48C9">
      <w:tab/>
    </w:r>
    <w:r w:rsidR="008E48C9">
      <w:tab/>
    </w:r>
    <w:r w:rsidR="00755CDD">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C3C"/>
    <w:multiLevelType w:val="hybridMultilevel"/>
    <w:tmpl w:val="08B4389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925BED"/>
    <w:multiLevelType w:val="hybridMultilevel"/>
    <w:tmpl w:val="9A88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100D"/>
    <w:multiLevelType w:val="hybridMultilevel"/>
    <w:tmpl w:val="A2448F16"/>
    <w:lvl w:ilvl="0" w:tplc="D27C8B32">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835F23"/>
    <w:multiLevelType w:val="hybridMultilevel"/>
    <w:tmpl w:val="08C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85630"/>
    <w:multiLevelType w:val="hybridMultilevel"/>
    <w:tmpl w:val="6E483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A54E6"/>
    <w:multiLevelType w:val="hybridMultilevel"/>
    <w:tmpl w:val="649C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45F88"/>
    <w:multiLevelType w:val="hybridMultilevel"/>
    <w:tmpl w:val="04DCE0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039CA"/>
    <w:multiLevelType w:val="hybridMultilevel"/>
    <w:tmpl w:val="E524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86257"/>
    <w:multiLevelType w:val="hybridMultilevel"/>
    <w:tmpl w:val="02F260AA"/>
    <w:lvl w:ilvl="0" w:tplc="08090001">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8269CE"/>
    <w:multiLevelType w:val="hybridMultilevel"/>
    <w:tmpl w:val="8D74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A39A5"/>
    <w:multiLevelType w:val="hybridMultilevel"/>
    <w:tmpl w:val="480A1BDC"/>
    <w:lvl w:ilvl="0" w:tplc="51D4BBC2">
      <w:numFmt w:val="bullet"/>
      <w:lvlText w:val=""/>
      <w:lvlJc w:val="left"/>
      <w:pPr>
        <w:tabs>
          <w:tab w:val="num" w:pos="420"/>
        </w:tabs>
        <w:ind w:left="420" w:hanging="360"/>
      </w:pPr>
      <w:rPr>
        <w:rFonts w:ascii="Symbol" w:eastAsia="Times New Roman" w:hAnsi="Symbol" w:cs="Arial" w:hint="default"/>
        <w:color w:val="auto"/>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1CC4ED0"/>
    <w:multiLevelType w:val="hybridMultilevel"/>
    <w:tmpl w:val="AC2A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A7D2F"/>
    <w:multiLevelType w:val="hybridMultilevel"/>
    <w:tmpl w:val="0BE4A0A0"/>
    <w:lvl w:ilvl="0" w:tplc="B2283A20">
      <w:start w:val="1"/>
      <w:numFmt w:val="decimal"/>
      <w:lvlText w:val="%1."/>
      <w:lvlJc w:val="left"/>
      <w:pPr>
        <w:ind w:left="765" w:hanging="360"/>
      </w:pPr>
      <w:rPr>
        <w:rFonts w:hint="default"/>
        <w:b/>
        <w:bCs/>
      </w:rPr>
    </w:lvl>
    <w:lvl w:ilvl="1" w:tplc="FFFFFFFF">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3" w15:restartNumberingAfterBreak="0">
    <w:nsid w:val="23285BD3"/>
    <w:multiLevelType w:val="hybridMultilevel"/>
    <w:tmpl w:val="BDD8C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170BAB"/>
    <w:multiLevelType w:val="hybridMultilevel"/>
    <w:tmpl w:val="8ED6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740E4"/>
    <w:multiLevelType w:val="hybridMultilevel"/>
    <w:tmpl w:val="3A0C47D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2B662A"/>
    <w:multiLevelType w:val="hybridMultilevel"/>
    <w:tmpl w:val="20A0DD88"/>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4A11FD"/>
    <w:multiLevelType w:val="hybridMultilevel"/>
    <w:tmpl w:val="3DF8C9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C1256"/>
    <w:multiLevelType w:val="hybridMultilevel"/>
    <w:tmpl w:val="4422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207F0"/>
    <w:multiLevelType w:val="hybridMultilevel"/>
    <w:tmpl w:val="6646224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575909"/>
    <w:multiLevelType w:val="hybridMultilevel"/>
    <w:tmpl w:val="3B0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12ABF"/>
    <w:multiLevelType w:val="hybridMultilevel"/>
    <w:tmpl w:val="1B168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D13E95"/>
    <w:multiLevelType w:val="hybridMultilevel"/>
    <w:tmpl w:val="A1C8FB6A"/>
    <w:lvl w:ilvl="0" w:tplc="40241AB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E57667"/>
    <w:multiLevelType w:val="hybridMultilevel"/>
    <w:tmpl w:val="E598BAFC"/>
    <w:lvl w:ilvl="0" w:tplc="ECCC08DC">
      <w:start w:val="1"/>
      <w:numFmt w:val="decimal"/>
      <w:lvlText w:val="%1."/>
      <w:lvlJc w:val="left"/>
      <w:pPr>
        <w:ind w:left="1069" w:hanging="360"/>
      </w:pPr>
      <w:rPr>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8272F5"/>
    <w:multiLevelType w:val="hybridMultilevel"/>
    <w:tmpl w:val="D4FE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80DA9"/>
    <w:multiLevelType w:val="hybridMultilevel"/>
    <w:tmpl w:val="AAC49F48"/>
    <w:lvl w:ilvl="0" w:tplc="0809000F">
      <w:start w:val="1"/>
      <w:numFmt w:val="decimal"/>
      <w:lvlText w:val="%1."/>
      <w:lvlJc w:val="left"/>
      <w:pPr>
        <w:ind w:left="108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3FE15507"/>
    <w:multiLevelType w:val="hybridMultilevel"/>
    <w:tmpl w:val="BB9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48396E"/>
    <w:multiLevelType w:val="hybridMultilevel"/>
    <w:tmpl w:val="BFD2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9918ED"/>
    <w:multiLevelType w:val="hybridMultilevel"/>
    <w:tmpl w:val="9BE8B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7617EE"/>
    <w:multiLevelType w:val="hybridMultilevel"/>
    <w:tmpl w:val="8B06E5E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C03637F"/>
    <w:multiLevelType w:val="hybridMultilevel"/>
    <w:tmpl w:val="5226F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F13C01"/>
    <w:multiLevelType w:val="hybridMultilevel"/>
    <w:tmpl w:val="A7B2E110"/>
    <w:lvl w:ilvl="0" w:tplc="BC6E4F8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C3055"/>
    <w:multiLevelType w:val="hybridMultilevel"/>
    <w:tmpl w:val="D102B1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463319"/>
    <w:multiLevelType w:val="hybridMultilevel"/>
    <w:tmpl w:val="F4D2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86AF1"/>
    <w:multiLevelType w:val="multilevel"/>
    <w:tmpl w:val="C688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AD0357"/>
    <w:multiLevelType w:val="hybridMultilevel"/>
    <w:tmpl w:val="7D5A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4F1875"/>
    <w:multiLevelType w:val="hybridMultilevel"/>
    <w:tmpl w:val="FD2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4183D"/>
    <w:multiLevelType w:val="hybridMultilevel"/>
    <w:tmpl w:val="7D409556"/>
    <w:lvl w:ilvl="0" w:tplc="FFFFFFFF">
      <w:start w:val="1"/>
      <w:numFmt w:val="decimal"/>
      <w:lvlText w:val="%1."/>
      <w:lvlJc w:val="left"/>
      <w:pPr>
        <w:ind w:left="1069" w:hanging="360"/>
      </w:pPr>
      <w:rPr>
        <w:color w:val="365F91"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5021B2"/>
    <w:multiLevelType w:val="hybridMultilevel"/>
    <w:tmpl w:val="420A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37B79"/>
    <w:multiLevelType w:val="hybridMultilevel"/>
    <w:tmpl w:val="421EF8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0" w15:restartNumberingAfterBreak="0">
    <w:nsid w:val="755A4DF2"/>
    <w:multiLevelType w:val="hybridMultilevel"/>
    <w:tmpl w:val="7D5EE9B6"/>
    <w:lvl w:ilvl="0" w:tplc="68DC21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265DD9"/>
    <w:multiLevelType w:val="hybridMultilevel"/>
    <w:tmpl w:val="DE505494"/>
    <w:lvl w:ilvl="0" w:tplc="0332DAA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A02ED"/>
    <w:multiLevelType w:val="hybridMultilevel"/>
    <w:tmpl w:val="AAC49F48"/>
    <w:lvl w:ilvl="0" w:tplc="FFFFFFFF">
      <w:start w:val="1"/>
      <w:numFmt w:val="decimal"/>
      <w:lvlText w:val="%1."/>
      <w:lvlJc w:val="left"/>
      <w:pPr>
        <w:ind w:left="108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90478848">
    <w:abstractNumId w:val="40"/>
  </w:num>
  <w:num w:numId="2" w16cid:durableId="402022620">
    <w:abstractNumId w:val="10"/>
  </w:num>
  <w:num w:numId="3" w16cid:durableId="1510292607">
    <w:abstractNumId w:val="33"/>
  </w:num>
  <w:num w:numId="4" w16cid:durableId="416947725">
    <w:abstractNumId w:val="14"/>
  </w:num>
  <w:num w:numId="5" w16cid:durableId="1186947960">
    <w:abstractNumId w:val="31"/>
  </w:num>
  <w:num w:numId="6" w16cid:durableId="1136796859">
    <w:abstractNumId w:val="17"/>
  </w:num>
  <w:num w:numId="7" w16cid:durableId="762998767">
    <w:abstractNumId w:val="6"/>
  </w:num>
  <w:num w:numId="8" w16cid:durableId="708719790">
    <w:abstractNumId w:val="41"/>
  </w:num>
  <w:num w:numId="9" w16cid:durableId="787510004">
    <w:abstractNumId w:val="39"/>
  </w:num>
  <w:num w:numId="10" w16cid:durableId="1005860375">
    <w:abstractNumId w:val="18"/>
  </w:num>
  <w:num w:numId="11" w16cid:durableId="141428368">
    <w:abstractNumId w:val="20"/>
  </w:num>
  <w:num w:numId="12" w16cid:durableId="1250506797">
    <w:abstractNumId w:val="3"/>
  </w:num>
  <w:num w:numId="13" w16cid:durableId="1714844507">
    <w:abstractNumId w:val="29"/>
  </w:num>
  <w:num w:numId="14" w16cid:durableId="1891721700">
    <w:abstractNumId w:val="13"/>
  </w:num>
  <w:num w:numId="15" w16cid:durableId="1028289472">
    <w:abstractNumId w:val="16"/>
  </w:num>
  <w:num w:numId="16" w16cid:durableId="1981498026">
    <w:abstractNumId w:val="19"/>
  </w:num>
  <w:num w:numId="17" w16cid:durableId="274990772">
    <w:abstractNumId w:val="4"/>
  </w:num>
  <w:num w:numId="18" w16cid:durableId="1195313974">
    <w:abstractNumId w:val="24"/>
  </w:num>
  <w:num w:numId="19" w16cid:durableId="1086076624">
    <w:abstractNumId w:val="35"/>
  </w:num>
  <w:num w:numId="20" w16cid:durableId="1697779378">
    <w:abstractNumId w:val="11"/>
  </w:num>
  <w:num w:numId="21" w16cid:durableId="456995000">
    <w:abstractNumId w:val="7"/>
  </w:num>
  <w:num w:numId="22" w16cid:durableId="1761560728">
    <w:abstractNumId w:val="21"/>
  </w:num>
  <w:num w:numId="23" w16cid:durableId="1913002744">
    <w:abstractNumId w:val="9"/>
  </w:num>
  <w:num w:numId="24" w16cid:durableId="1040014050">
    <w:abstractNumId w:val="22"/>
  </w:num>
  <w:num w:numId="25" w16cid:durableId="1521046757">
    <w:abstractNumId w:val="27"/>
  </w:num>
  <w:num w:numId="26" w16cid:durableId="1599946341">
    <w:abstractNumId w:val="1"/>
  </w:num>
  <w:num w:numId="27" w16cid:durableId="1911891734">
    <w:abstractNumId w:val="32"/>
  </w:num>
  <w:num w:numId="28" w16cid:durableId="850411656">
    <w:abstractNumId w:val="12"/>
  </w:num>
  <w:num w:numId="29" w16cid:durableId="1968898104">
    <w:abstractNumId w:val="38"/>
  </w:num>
  <w:num w:numId="30" w16cid:durableId="172572698">
    <w:abstractNumId w:val="36"/>
  </w:num>
  <w:num w:numId="31" w16cid:durableId="1723820293">
    <w:abstractNumId w:val="8"/>
  </w:num>
  <w:num w:numId="32" w16cid:durableId="896740590">
    <w:abstractNumId w:val="0"/>
  </w:num>
  <w:num w:numId="33" w16cid:durableId="1917007610">
    <w:abstractNumId w:val="26"/>
  </w:num>
  <w:num w:numId="34" w16cid:durableId="1301115218">
    <w:abstractNumId w:val="15"/>
  </w:num>
  <w:num w:numId="35" w16cid:durableId="1656765024">
    <w:abstractNumId w:val="30"/>
  </w:num>
  <w:num w:numId="36" w16cid:durableId="1076169323">
    <w:abstractNumId w:val="25"/>
  </w:num>
  <w:num w:numId="37" w16cid:durableId="178665389">
    <w:abstractNumId w:val="2"/>
  </w:num>
  <w:num w:numId="38" w16cid:durableId="2097554505">
    <w:abstractNumId w:val="28"/>
  </w:num>
  <w:num w:numId="39" w16cid:durableId="2127701278">
    <w:abstractNumId w:val="42"/>
  </w:num>
  <w:num w:numId="40" w16cid:durableId="1928345614">
    <w:abstractNumId w:val="23"/>
  </w:num>
  <w:num w:numId="41" w16cid:durableId="1441878408">
    <w:abstractNumId w:val="5"/>
  </w:num>
  <w:num w:numId="42" w16cid:durableId="294869967">
    <w:abstractNumId w:val="37"/>
  </w:num>
  <w:num w:numId="43" w16cid:durableId="567495418">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TEpMN2wWaTk5jsB4U24Np3jp7dnYnOyEue1TDhi2WLdX4lL5wYycq7tltwK8OHT2EAzyHb7S/std9nRs/3M2g==" w:salt="zyghy+GagTotP9yp2ZDTWQ=="/>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40"/>
    <w:rsid w:val="000001FC"/>
    <w:rsid w:val="00001F53"/>
    <w:rsid w:val="0000218C"/>
    <w:rsid w:val="00005089"/>
    <w:rsid w:val="00005174"/>
    <w:rsid w:val="0000699B"/>
    <w:rsid w:val="00006B84"/>
    <w:rsid w:val="0001198A"/>
    <w:rsid w:val="00012A0D"/>
    <w:rsid w:val="00012A2F"/>
    <w:rsid w:val="000176F7"/>
    <w:rsid w:val="00017FBC"/>
    <w:rsid w:val="00021DD2"/>
    <w:rsid w:val="00022785"/>
    <w:rsid w:val="00023355"/>
    <w:rsid w:val="000246D8"/>
    <w:rsid w:val="00024AAE"/>
    <w:rsid w:val="00026694"/>
    <w:rsid w:val="00026A87"/>
    <w:rsid w:val="00030330"/>
    <w:rsid w:val="00032239"/>
    <w:rsid w:val="000334EB"/>
    <w:rsid w:val="00033EAE"/>
    <w:rsid w:val="00034726"/>
    <w:rsid w:val="000350D7"/>
    <w:rsid w:val="00037DA4"/>
    <w:rsid w:val="000415E6"/>
    <w:rsid w:val="0004187E"/>
    <w:rsid w:val="00042187"/>
    <w:rsid w:val="00042EB3"/>
    <w:rsid w:val="00043B49"/>
    <w:rsid w:val="0004416F"/>
    <w:rsid w:val="0004530D"/>
    <w:rsid w:val="00045437"/>
    <w:rsid w:val="00045D59"/>
    <w:rsid w:val="00052BB8"/>
    <w:rsid w:val="000571A0"/>
    <w:rsid w:val="000607CB"/>
    <w:rsid w:val="000612A3"/>
    <w:rsid w:val="000627AB"/>
    <w:rsid w:val="000657C3"/>
    <w:rsid w:val="00066C9D"/>
    <w:rsid w:val="00067E69"/>
    <w:rsid w:val="00070BA9"/>
    <w:rsid w:val="00075D91"/>
    <w:rsid w:val="00076AEC"/>
    <w:rsid w:val="00080E55"/>
    <w:rsid w:val="00082B19"/>
    <w:rsid w:val="0008488D"/>
    <w:rsid w:val="00086065"/>
    <w:rsid w:val="00086512"/>
    <w:rsid w:val="0009042D"/>
    <w:rsid w:val="00090921"/>
    <w:rsid w:val="00094FFF"/>
    <w:rsid w:val="00096ED5"/>
    <w:rsid w:val="000978E8"/>
    <w:rsid w:val="000A1B72"/>
    <w:rsid w:val="000A1CFD"/>
    <w:rsid w:val="000A4B39"/>
    <w:rsid w:val="000A59C6"/>
    <w:rsid w:val="000A5F54"/>
    <w:rsid w:val="000B281A"/>
    <w:rsid w:val="000B367E"/>
    <w:rsid w:val="000B419A"/>
    <w:rsid w:val="000B579D"/>
    <w:rsid w:val="000B63AC"/>
    <w:rsid w:val="000B6E9B"/>
    <w:rsid w:val="000C0412"/>
    <w:rsid w:val="000C0603"/>
    <w:rsid w:val="000C26D4"/>
    <w:rsid w:val="000C4A1B"/>
    <w:rsid w:val="000C53BF"/>
    <w:rsid w:val="000C5E99"/>
    <w:rsid w:val="000D007A"/>
    <w:rsid w:val="000D3AFD"/>
    <w:rsid w:val="000D6783"/>
    <w:rsid w:val="000D723D"/>
    <w:rsid w:val="000E067E"/>
    <w:rsid w:val="000E12B9"/>
    <w:rsid w:val="000E2103"/>
    <w:rsid w:val="000E268B"/>
    <w:rsid w:val="000F1C21"/>
    <w:rsid w:val="000F36EF"/>
    <w:rsid w:val="000F5399"/>
    <w:rsid w:val="000F5F10"/>
    <w:rsid w:val="000F683A"/>
    <w:rsid w:val="000F6A6E"/>
    <w:rsid w:val="00105694"/>
    <w:rsid w:val="001059DF"/>
    <w:rsid w:val="00105F13"/>
    <w:rsid w:val="00111DF2"/>
    <w:rsid w:val="001143DD"/>
    <w:rsid w:val="00115D32"/>
    <w:rsid w:val="00120B14"/>
    <w:rsid w:val="0012123B"/>
    <w:rsid w:val="00121F3A"/>
    <w:rsid w:val="00127BF4"/>
    <w:rsid w:val="0013090D"/>
    <w:rsid w:val="00133550"/>
    <w:rsid w:val="00136CA1"/>
    <w:rsid w:val="00142434"/>
    <w:rsid w:val="00142AB4"/>
    <w:rsid w:val="001468E7"/>
    <w:rsid w:val="00146E17"/>
    <w:rsid w:val="00146EEC"/>
    <w:rsid w:val="00150888"/>
    <w:rsid w:val="00152E0E"/>
    <w:rsid w:val="0015329B"/>
    <w:rsid w:val="00155B52"/>
    <w:rsid w:val="00156A80"/>
    <w:rsid w:val="001578B8"/>
    <w:rsid w:val="001628CB"/>
    <w:rsid w:val="00163C0B"/>
    <w:rsid w:val="00164186"/>
    <w:rsid w:val="001644B4"/>
    <w:rsid w:val="001659BE"/>
    <w:rsid w:val="0016624D"/>
    <w:rsid w:val="0016649C"/>
    <w:rsid w:val="00166A57"/>
    <w:rsid w:val="00167244"/>
    <w:rsid w:val="00167988"/>
    <w:rsid w:val="00167A8F"/>
    <w:rsid w:val="00167DBF"/>
    <w:rsid w:val="00170261"/>
    <w:rsid w:val="0017239B"/>
    <w:rsid w:val="00172AF1"/>
    <w:rsid w:val="00173A72"/>
    <w:rsid w:val="00174BB6"/>
    <w:rsid w:val="001758F6"/>
    <w:rsid w:val="001772BB"/>
    <w:rsid w:val="00180CEB"/>
    <w:rsid w:val="00183141"/>
    <w:rsid w:val="001840CE"/>
    <w:rsid w:val="00185148"/>
    <w:rsid w:val="001876B7"/>
    <w:rsid w:val="001907FB"/>
    <w:rsid w:val="001933F6"/>
    <w:rsid w:val="00195207"/>
    <w:rsid w:val="00195A5B"/>
    <w:rsid w:val="00196D22"/>
    <w:rsid w:val="0019758D"/>
    <w:rsid w:val="001A03E4"/>
    <w:rsid w:val="001A2029"/>
    <w:rsid w:val="001A36E2"/>
    <w:rsid w:val="001A4CA2"/>
    <w:rsid w:val="001A7BCF"/>
    <w:rsid w:val="001B0963"/>
    <w:rsid w:val="001B2A9B"/>
    <w:rsid w:val="001B3D1A"/>
    <w:rsid w:val="001B3D80"/>
    <w:rsid w:val="001B7592"/>
    <w:rsid w:val="001C29FB"/>
    <w:rsid w:val="001C5D89"/>
    <w:rsid w:val="001C6D22"/>
    <w:rsid w:val="001D0C1A"/>
    <w:rsid w:val="001D17E1"/>
    <w:rsid w:val="001D2E8D"/>
    <w:rsid w:val="001D3D37"/>
    <w:rsid w:val="001D5106"/>
    <w:rsid w:val="001D51CA"/>
    <w:rsid w:val="001D641B"/>
    <w:rsid w:val="001D6781"/>
    <w:rsid w:val="001D6CB1"/>
    <w:rsid w:val="001D7503"/>
    <w:rsid w:val="001D7FF9"/>
    <w:rsid w:val="001E0024"/>
    <w:rsid w:val="001E0035"/>
    <w:rsid w:val="001E0A79"/>
    <w:rsid w:val="001E1680"/>
    <w:rsid w:val="001E2691"/>
    <w:rsid w:val="001E32E9"/>
    <w:rsid w:val="001E6B18"/>
    <w:rsid w:val="001F55E1"/>
    <w:rsid w:val="001F5BE1"/>
    <w:rsid w:val="001F621A"/>
    <w:rsid w:val="001F63DD"/>
    <w:rsid w:val="00201042"/>
    <w:rsid w:val="00201D89"/>
    <w:rsid w:val="00203621"/>
    <w:rsid w:val="00203987"/>
    <w:rsid w:val="0020716E"/>
    <w:rsid w:val="002077EB"/>
    <w:rsid w:val="002111F0"/>
    <w:rsid w:val="002116AB"/>
    <w:rsid w:val="0021198C"/>
    <w:rsid w:val="00212220"/>
    <w:rsid w:val="00212A9C"/>
    <w:rsid w:val="00213400"/>
    <w:rsid w:val="0021436C"/>
    <w:rsid w:val="00214BEC"/>
    <w:rsid w:val="0021618B"/>
    <w:rsid w:val="00216DA8"/>
    <w:rsid w:val="00216E02"/>
    <w:rsid w:val="002215C7"/>
    <w:rsid w:val="00221908"/>
    <w:rsid w:val="00222900"/>
    <w:rsid w:val="00222CFA"/>
    <w:rsid w:val="00225015"/>
    <w:rsid w:val="00225AF6"/>
    <w:rsid w:val="0023146A"/>
    <w:rsid w:val="00231AB0"/>
    <w:rsid w:val="002324A7"/>
    <w:rsid w:val="00236A68"/>
    <w:rsid w:val="00237C4C"/>
    <w:rsid w:val="00240C61"/>
    <w:rsid w:val="00247B6C"/>
    <w:rsid w:val="00247FE5"/>
    <w:rsid w:val="00251858"/>
    <w:rsid w:val="00254937"/>
    <w:rsid w:val="002549F9"/>
    <w:rsid w:val="002560B2"/>
    <w:rsid w:val="002579AB"/>
    <w:rsid w:val="00257D4D"/>
    <w:rsid w:val="00260F39"/>
    <w:rsid w:val="00262719"/>
    <w:rsid w:val="00264789"/>
    <w:rsid w:val="00266B6B"/>
    <w:rsid w:val="00266E9C"/>
    <w:rsid w:val="00270EEE"/>
    <w:rsid w:val="00272CC9"/>
    <w:rsid w:val="0027434C"/>
    <w:rsid w:val="00274E88"/>
    <w:rsid w:val="00275639"/>
    <w:rsid w:val="0027658F"/>
    <w:rsid w:val="002775EE"/>
    <w:rsid w:val="00277A94"/>
    <w:rsid w:val="00280BC9"/>
    <w:rsid w:val="002817E9"/>
    <w:rsid w:val="00282DC4"/>
    <w:rsid w:val="00282F20"/>
    <w:rsid w:val="00284075"/>
    <w:rsid w:val="00284189"/>
    <w:rsid w:val="00286720"/>
    <w:rsid w:val="00287E01"/>
    <w:rsid w:val="00292037"/>
    <w:rsid w:val="00294EA8"/>
    <w:rsid w:val="002A0639"/>
    <w:rsid w:val="002A14E1"/>
    <w:rsid w:val="002A1CF1"/>
    <w:rsid w:val="002A1EB8"/>
    <w:rsid w:val="002A3DE9"/>
    <w:rsid w:val="002A56DF"/>
    <w:rsid w:val="002A75A2"/>
    <w:rsid w:val="002A7D10"/>
    <w:rsid w:val="002B2096"/>
    <w:rsid w:val="002B6EDA"/>
    <w:rsid w:val="002C1E3E"/>
    <w:rsid w:val="002C2744"/>
    <w:rsid w:val="002C36C8"/>
    <w:rsid w:val="002C44DD"/>
    <w:rsid w:val="002D041F"/>
    <w:rsid w:val="002D1C9D"/>
    <w:rsid w:val="002D40CB"/>
    <w:rsid w:val="002D4F9B"/>
    <w:rsid w:val="002D53B1"/>
    <w:rsid w:val="002D7116"/>
    <w:rsid w:val="002D758A"/>
    <w:rsid w:val="002E0EE4"/>
    <w:rsid w:val="002E2EC1"/>
    <w:rsid w:val="002E3F31"/>
    <w:rsid w:val="002E5A88"/>
    <w:rsid w:val="002E5BEE"/>
    <w:rsid w:val="002E6C72"/>
    <w:rsid w:val="002E79EB"/>
    <w:rsid w:val="002F0F3A"/>
    <w:rsid w:val="002F1238"/>
    <w:rsid w:val="002F2105"/>
    <w:rsid w:val="002F2BDD"/>
    <w:rsid w:val="002F51B7"/>
    <w:rsid w:val="002F5DD0"/>
    <w:rsid w:val="002F65E6"/>
    <w:rsid w:val="002F71C4"/>
    <w:rsid w:val="00301018"/>
    <w:rsid w:val="003021C2"/>
    <w:rsid w:val="00302CB2"/>
    <w:rsid w:val="00303548"/>
    <w:rsid w:val="003048CD"/>
    <w:rsid w:val="00307200"/>
    <w:rsid w:val="00310987"/>
    <w:rsid w:val="00312293"/>
    <w:rsid w:val="00313449"/>
    <w:rsid w:val="00314469"/>
    <w:rsid w:val="003238D6"/>
    <w:rsid w:val="0032602F"/>
    <w:rsid w:val="003262AF"/>
    <w:rsid w:val="00326824"/>
    <w:rsid w:val="00330272"/>
    <w:rsid w:val="003346A1"/>
    <w:rsid w:val="00335269"/>
    <w:rsid w:val="00337444"/>
    <w:rsid w:val="00337492"/>
    <w:rsid w:val="003412F8"/>
    <w:rsid w:val="00342442"/>
    <w:rsid w:val="00342488"/>
    <w:rsid w:val="00342554"/>
    <w:rsid w:val="00344AC0"/>
    <w:rsid w:val="00345389"/>
    <w:rsid w:val="00345CAD"/>
    <w:rsid w:val="0035033F"/>
    <w:rsid w:val="00351A7A"/>
    <w:rsid w:val="00353E3A"/>
    <w:rsid w:val="00355553"/>
    <w:rsid w:val="00355A13"/>
    <w:rsid w:val="00355E10"/>
    <w:rsid w:val="003564B6"/>
    <w:rsid w:val="00357631"/>
    <w:rsid w:val="00363376"/>
    <w:rsid w:val="0036395B"/>
    <w:rsid w:val="00364995"/>
    <w:rsid w:val="003667B5"/>
    <w:rsid w:val="00366C6D"/>
    <w:rsid w:val="00367A27"/>
    <w:rsid w:val="00367D21"/>
    <w:rsid w:val="00370F84"/>
    <w:rsid w:val="0037141C"/>
    <w:rsid w:val="00372F97"/>
    <w:rsid w:val="00373F0B"/>
    <w:rsid w:val="00374D14"/>
    <w:rsid w:val="00375554"/>
    <w:rsid w:val="00375681"/>
    <w:rsid w:val="003768B6"/>
    <w:rsid w:val="00381097"/>
    <w:rsid w:val="00382D6E"/>
    <w:rsid w:val="0038427E"/>
    <w:rsid w:val="00384A2E"/>
    <w:rsid w:val="00386446"/>
    <w:rsid w:val="0038680A"/>
    <w:rsid w:val="003905D4"/>
    <w:rsid w:val="003929CD"/>
    <w:rsid w:val="0039485E"/>
    <w:rsid w:val="003A0F83"/>
    <w:rsid w:val="003A1B99"/>
    <w:rsid w:val="003A3F25"/>
    <w:rsid w:val="003A3FDA"/>
    <w:rsid w:val="003A741B"/>
    <w:rsid w:val="003B2202"/>
    <w:rsid w:val="003B347F"/>
    <w:rsid w:val="003B5F4F"/>
    <w:rsid w:val="003B609B"/>
    <w:rsid w:val="003B6922"/>
    <w:rsid w:val="003C0C67"/>
    <w:rsid w:val="003C1243"/>
    <w:rsid w:val="003C2A7D"/>
    <w:rsid w:val="003C642D"/>
    <w:rsid w:val="003C6BC0"/>
    <w:rsid w:val="003D0CD9"/>
    <w:rsid w:val="003D1124"/>
    <w:rsid w:val="003D162E"/>
    <w:rsid w:val="003D2A80"/>
    <w:rsid w:val="003D7031"/>
    <w:rsid w:val="003D765E"/>
    <w:rsid w:val="003E18FA"/>
    <w:rsid w:val="003E4D3D"/>
    <w:rsid w:val="003E5006"/>
    <w:rsid w:val="003E5B7B"/>
    <w:rsid w:val="003E6685"/>
    <w:rsid w:val="003E6CC9"/>
    <w:rsid w:val="003E77E4"/>
    <w:rsid w:val="003E7BAF"/>
    <w:rsid w:val="003F5B2A"/>
    <w:rsid w:val="004008DC"/>
    <w:rsid w:val="004013ED"/>
    <w:rsid w:val="00401D7D"/>
    <w:rsid w:val="004042A2"/>
    <w:rsid w:val="0040469A"/>
    <w:rsid w:val="0040738D"/>
    <w:rsid w:val="004146C0"/>
    <w:rsid w:val="00417F8D"/>
    <w:rsid w:val="00425231"/>
    <w:rsid w:val="00425C88"/>
    <w:rsid w:val="00426DED"/>
    <w:rsid w:val="00427DC8"/>
    <w:rsid w:val="00432207"/>
    <w:rsid w:val="00432665"/>
    <w:rsid w:val="0043538A"/>
    <w:rsid w:val="00437F0E"/>
    <w:rsid w:val="00442AFB"/>
    <w:rsid w:val="00444E89"/>
    <w:rsid w:val="00445125"/>
    <w:rsid w:val="00447D2E"/>
    <w:rsid w:val="00447D59"/>
    <w:rsid w:val="00451DB7"/>
    <w:rsid w:val="004559DD"/>
    <w:rsid w:val="004569D1"/>
    <w:rsid w:val="00457151"/>
    <w:rsid w:val="00464800"/>
    <w:rsid w:val="00465598"/>
    <w:rsid w:val="00466DAD"/>
    <w:rsid w:val="0046768C"/>
    <w:rsid w:val="00472598"/>
    <w:rsid w:val="00475218"/>
    <w:rsid w:val="004757CD"/>
    <w:rsid w:val="00476B3A"/>
    <w:rsid w:val="00477592"/>
    <w:rsid w:val="00480423"/>
    <w:rsid w:val="00480485"/>
    <w:rsid w:val="0048385D"/>
    <w:rsid w:val="00483D2E"/>
    <w:rsid w:val="004842EC"/>
    <w:rsid w:val="004845D0"/>
    <w:rsid w:val="0048586A"/>
    <w:rsid w:val="00485AE1"/>
    <w:rsid w:val="00485F05"/>
    <w:rsid w:val="004901F2"/>
    <w:rsid w:val="004903E0"/>
    <w:rsid w:val="0049045B"/>
    <w:rsid w:val="004909EE"/>
    <w:rsid w:val="00493994"/>
    <w:rsid w:val="00494E7B"/>
    <w:rsid w:val="004A1854"/>
    <w:rsid w:val="004A32C9"/>
    <w:rsid w:val="004A3AD7"/>
    <w:rsid w:val="004B192A"/>
    <w:rsid w:val="004B21EF"/>
    <w:rsid w:val="004B31B4"/>
    <w:rsid w:val="004B5EEF"/>
    <w:rsid w:val="004B66A3"/>
    <w:rsid w:val="004B74ED"/>
    <w:rsid w:val="004C06B3"/>
    <w:rsid w:val="004C0F73"/>
    <w:rsid w:val="004C144B"/>
    <w:rsid w:val="004C2921"/>
    <w:rsid w:val="004C3487"/>
    <w:rsid w:val="004C4690"/>
    <w:rsid w:val="004C4BE5"/>
    <w:rsid w:val="004D067A"/>
    <w:rsid w:val="004D0F1E"/>
    <w:rsid w:val="004D1227"/>
    <w:rsid w:val="004D1FE8"/>
    <w:rsid w:val="004D2470"/>
    <w:rsid w:val="004D2D8E"/>
    <w:rsid w:val="004D3913"/>
    <w:rsid w:val="004D394D"/>
    <w:rsid w:val="004D4149"/>
    <w:rsid w:val="004E108F"/>
    <w:rsid w:val="004E2282"/>
    <w:rsid w:val="004E339E"/>
    <w:rsid w:val="004E3928"/>
    <w:rsid w:val="004E4060"/>
    <w:rsid w:val="004E7AE0"/>
    <w:rsid w:val="004F0150"/>
    <w:rsid w:val="004F157A"/>
    <w:rsid w:val="004F226E"/>
    <w:rsid w:val="004F3A6E"/>
    <w:rsid w:val="004F451F"/>
    <w:rsid w:val="004F636A"/>
    <w:rsid w:val="00503671"/>
    <w:rsid w:val="00504503"/>
    <w:rsid w:val="00507546"/>
    <w:rsid w:val="005131B7"/>
    <w:rsid w:val="00514313"/>
    <w:rsid w:val="005143B3"/>
    <w:rsid w:val="005156D4"/>
    <w:rsid w:val="005172E3"/>
    <w:rsid w:val="00520475"/>
    <w:rsid w:val="0052136A"/>
    <w:rsid w:val="00522B1E"/>
    <w:rsid w:val="00523F20"/>
    <w:rsid w:val="00526350"/>
    <w:rsid w:val="005266CD"/>
    <w:rsid w:val="00531863"/>
    <w:rsid w:val="0053673A"/>
    <w:rsid w:val="005400A2"/>
    <w:rsid w:val="0054011C"/>
    <w:rsid w:val="005411C3"/>
    <w:rsid w:val="005415AF"/>
    <w:rsid w:val="005463C5"/>
    <w:rsid w:val="00546511"/>
    <w:rsid w:val="00546A4C"/>
    <w:rsid w:val="00546B5B"/>
    <w:rsid w:val="00546FE5"/>
    <w:rsid w:val="00547829"/>
    <w:rsid w:val="00551660"/>
    <w:rsid w:val="00553BB2"/>
    <w:rsid w:val="0055778A"/>
    <w:rsid w:val="00557F3A"/>
    <w:rsid w:val="00560BF8"/>
    <w:rsid w:val="00560D15"/>
    <w:rsid w:val="0056183A"/>
    <w:rsid w:val="00561A66"/>
    <w:rsid w:val="0056483D"/>
    <w:rsid w:val="005662A4"/>
    <w:rsid w:val="005669C1"/>
    <w:rsid w:val="0057378A"/>
    <w:rsid w:val="00574DCA"/>
    <w:rsid w:val="0057555B"/>
    <w:rsid w:val="00575865"/>
    <w:rsid w:val="005772E0"/>
    <w:rsid w:val="00582EEE"/>
    <w:rsid w:val="0058357E"/>
    <w:rsid w:val="00586D97"/>
    <w:rsid w:val="005878F9"/>
    <w:rsid w:val="005904E8"/>
    <w:rsid w:val="005918DF"/>
    <w:rsid w:val="00591ACF"/>
    <w:rsid w:val="00594DC1"/>
    <w:rsid w:val="00595305"/>
    <w:rsid w:val="00597850"/>
    <w:rsid w:val="00597BC6"/>
    <w:rsid w:val="005A1144"/>
    <w:rsid w:val="005A262F"/>
    <w:rsid w:val="005A2CA5"/>
    <w:rsid w:val="005A3F32"/>
    <w:rsid w:val="005A65AB"/>
    <w:rsid w:val="005A6759"/>
    <w:rsid w:val="005A6D2C"/>
    <w:rsid w:val="005A6D45"/>
    <w:rsid w:val="005A7815"/>
    <w:rsid w:val="005B16AB"/>
    <w:rsid w:val="005B203B"/>
    <w:rsid w:val="005B620E"/>
    <w:rsid w:val="005B6257"/>
    <w:rsid w:val="005C052C"/>
    <w:rsid w:val="005C1EFC"/>
    <w:rsid w:val="005C58A2"/>
    <w:rsid w:val="005D371E"/>
    <w:rsid w:val="005D447D"/>
    <w:rsid w:val="005D4690"/>
    <w:rsid w:val="005D5EF0"/>
    <w:rsid w:val="005D7BED"/>
    <w:rsid w:val="005E1B3B"/>
    <w:rsid w:val="005F034A"/>
    <w:rsid w:val="005F3885"/>
    <w:rsid w:val="005F3C59"/>
    <w:rsid w:val="005F4E9C"/>
    <w:rsid w:val="005F5216"/>
    <w:rsid w:val="005F5BD8"/>
    <w:rsid w:val="005F62F9"/>
    <w:rsid w:val="005F7E43"/>
    <w:rsid w:val="00601392"/>
    <w:rsid w:val="0060188D"/>
    <w:rsid w:val="00602960"/>
    <w:rsid w:val="00602DA5"/>
    <w:rsid w:val="00604B9C"/>
    <w:rsid w:val="006057DB"/>
    <w:rsid w:val="0060699E"/>
    <w:rsid w:val="00607136"/>
    <w:rsid w:val="00607E9E"/>
    <w:rsid w:val="006124A5"/>
    <w:rsid w:val="00612500"/>
    <w:rsid w:val="006132DC"/>
    <w:rsid w:val="00614FDB"/>
    <w:rsid w:val="00615595"/>
    <w:rsid w:val="00616A09"/>
    <w:rsid w:val="00616E06"/>
    <w:rsid w:val="00620C91"/>
    <w:rsid w:val="00625A26"/>
    <w:rsid w:val="00632468"/>
    <w:rsid w:val="006325A2"/>
    <w:rsid w:val="006327BE"/>
    <w:rsid w:val="00632D37"/>
    <w:rsid w:val="00633D21"/>
    <w:rsid w:val="006379D2"/>
    <w:rsid w:val="006407E3"/>
    <w:rsid w:val="006409E2"/>
    <w:rsid w:val="006437D6"/>
    <w:rsid w:val="0064481E"/>
    <w:rsid w:val="00646D58"/>
    <w:rsid w:val="006474E7"/>
    <w:rsid w:val="00647FD7"/>
    <w:rsid w:val="00656603"/>
    <w:rsid w:val="00656682"/>
    <w:rsid w:val="0066107F"/>
    <w:rsid w:val="0066427C"/>
    <w:rsid w:val="00665368"/>
    <w:rsid w:val="0066536E"/>
    <w:rsid w:val="006709E1"/>
    <w:rsid w:val="00671215"/>
    <w:rsid w:val="00671BC2"/>
    <w:rsid w:val="00674236"/>
    <w:rsid w:val="00675CB4"/>
    <w:rsid w:val="00675EF9"/>
    <w:rsid w:val="0067756B"/>
    <w:rsid w:val="00680E27"/>
    <w:rsid w:val="006810E4"/>
    <w:rsid w:val="00682058"/>
    <w:rsid w:val="00683106"/>
    <w:rsid w:val="0069208B"/>
    <w:rsid w:val="00693A5D"/>
    <w:rsid w:val="00695964"/>
    <w:rsid w:val="00696BD3"/>
    <w:rsid w:val="00696D28"/>
    <w:rsid w:val="006A22AE"/>
    <w:rsid w:val="006A2BC4"/>
    <w:rsid w:val="006A3D15"/>
    <w:rsid w:val="006A484A"/>
    <w:rsid w:val="006B16F6"/>
    <w:rsid w:val="006B2EF8"/>
    <w:rsid w:val="006B339D"/>
    <w:rsid w:val="006B3632"/>
    <w:rsid w:val="006C0B4E"/>
    <w:rsid w:val="006C0DC8"/>
    <w:rsid w:val="006C12EA"/>
    <w:rsid w:val="006C39ED"/>
    <w:rsid w:val="006D0B50"/>
    <w:rsid w:val="006D3FB1"/>
    <w:rsid w:val="006D4990"/>
    <w:rsid w:val="006D5825"/>
    <w:rsid w:val="006D655D"/>
    <w:rsid w:val="006E27BD"/>
    <w:rsid w:val="006F5293"/>
    <w:rsid w:val="006F5CE3"/>
    <w:rsid w:val="006F5D18"/>
    <w:rsid w:val="007008C4"/>
    <w:rsid w:val="00700AF8"/>
    <w:rsid w:val="00702369"/>
    <w:rsid w:val="007024F3"/>
    <w:rsid w:val="00702930"/>
    <w:rsid w:val="00705099"/>
    <w:rsid w:val="0070630F"/>
    <w:rsid w:val="00707A46"/>
    <w:rsid w:val="00710601"/>
    <w:rsid w:val="00710919"/>
    <w:rsid w:val="00714470"/>
    <w:rsid w:val="00714D05"/>
    <w:rsid w:val="0071510B"/>
    <w:rsid w:val="007165B5"/>
    <w:rsid w:val="007175FD"/>
    <w:rsid w:val="0072064A"/>
    <w:rsid w:val="007207DE"/>
    <w:rsid w:val="00722B24"/>
    <w:rsid w:val="007245F6"/>
    <w:rsid w:val="00724E5A"/>
    <w:rsid w:val="00731E02"/>
    <w:rsid w:val="00731F65"/>
    <w:rsid w:val="00732075"/>
    <w:rsid w:val="00735C14"/>
    <w:rsid w:val="00736AA1"/>
    <w:rsid w:val="00736F7C"/>
    <w:rsid w:val="00742FD5"/>
    <w:rsid w:val="00743E03"/>
    <w:rsid w:val="00743F0A"/>
    <w:rsid w:val="007446A8"/>
    <w:rsid w:val="00744A03"/>
    <w:rsid w:val="00744EFD"/>
    <w:rsid w:val="007502AA"/>
    <w:rsid w:val="007507BF"/>
    <w:rsid w:val="00752D1B"/>
    <w:rsid w:val="00753D49"/>
    <w:rsid w:val="00754444"/>
    <w:rsid w:val="00755CDD"/>
    <w:rsid w:val="00756A0B"/>
    <w:rsid w:val="00756B40"/>
    <w:rsid w:val="007579F9"/>
    <w:rsid w:val="0076078F"/>
    <w:rsid w:val="00763A27"/>
    <w:rsid w:val="0076437E"/>
    <w:rsid w:val="00764747"/>
    <w:rsid w:val="00765E38"/>
    <w:rsid w:val="00767B91"/>
    <w:rsid w:val="00770244"/>
    <w:rsid w:val="0077080F"/>
    <w:rsid w:val="00771791"/>
    <w:rsid w:val="00771D2B"/>
    <w:rsid w:val="0077204F"/>
    <w:rsid w:val="00774DD0"/>
    <w:rsid w:val="00776198"/>
    <w:rsid w:val="00781F85"/>
    <w:rsid w:val="007836CD"/>
    <w:rsid w:val="007837CF"/>
    <w:rsid w:val="00784E8A"/>
    <w:rsid w:val="007868E0"/>
    <w:rsid w:val="00786C33"/>
    <w:rsid w:val="0078712A"/>
    <w:rsid w:val="00787E2E"/>
    <w:rsid w:val="00790C22"/>
    <w:rsid w:val="00791B2A"/>
    <w:rsid w:val="00792069"/>
    <w:rsid w:val="00794673"/>
    <w:rsid w:val="00794F13"/>
    <w:rsid w:val="00795E1D"/>
    <w:rsid w:val="007977CF"/>
    <w:rsid w:val="00797E32"/>
    <w:rsid w:val="007A197D"/>
    <w:rsid w:val="007A1ECE"/>
    <w:rsid w:val="007A4EE1"/>
    <w:rsid w:val="007B1790"/>
    <w:rsid w:val="007B195D"/>
    <w:rsid w:val="007B1C01"/>
    <w:rsid w:val="007B29E0"/>
    <w:rsid w:val="007C07DA"/>
    <w:rsid w:val="007C23CD"/>
    <w:rsid w:val="007C261B"/>
    <w:rsid w:val="007C4FA2"/>
    <w:rsid w:val="007C60DC"/>
    <w:rsid w:val="007C7971"/>
    <w:rsid w:val="007D0287"/>
    <w:rsid w:val="007D0803"/>
    <w:rsid w:val="007D1A21"/>
    <w:rsid w:val="007D2796"/>
    <w:rsid w:val="007D2D14"/>
    <w:rsid w:val="007D5BFE"/>
    <w:rsid w:val="007D6D6A"/>
    <w:rsid w:val="007E1ABF"/>
    <w:rsid w:val="007E328E"/>
    <w:rsid w:val="007E3D39"/>
    <w:rsid w:val="007E595D"/>
    <w:rsid w:val="007E63BD"/>
    <w:rsid w:val="007E7361"/>
    <w:rsid w:val="007F3050"/>
    <w:rsid w:val="007F374B"/>
    <w:rsid w:val="007F3FF1"/>
    <w:rsid w:val="007F47E5"/>
    <w:rsid w:val="007F54BB"/>
    <w:rsid w:val="007F6585"/>
    <w:rsid w:val="007F6B0C"/>
    <w:rsid w:val="007F6D13"/>
    <w:rsid w:val="007F71E8"/>
    <w:rsid w:val="008015E7"/>
    <w:rsid w:val="00805D7A"/>
    <w:rsid w:val="00806CCC"/>
    <w:rsid w:val="008071E5"/>
    <w:rsid w:val="00807900"/>
    <w:rsid w:val="00807AD1"/>
    <w:rsid w:val="008151D9"/>
    <w:rsid w:val="00815855"/>
    <w:rsid w:val="0082087D"/>
    <w:rsid w:val="00821081"/>
    <w:rsid w:val="00823080"/>
    <w:rsid w:val="0082355B"/>
    <w:rsid w:val="0082657B"/>
    <w:rsid w:val="0082662A"/>
    <w:rsid w:val="008305C8"/>
    <w:rsid w:val="008309D4"/>
    <w:rsid w:val="00831630"/>
    <w:rsid w:val="00831EE4"/>
    <w:rsid w:val="008325DA"/>
    <w:rsid w:val="00832A4F"/>
    <w:rsid w:val="008336B3"/>
    <w:rsid w:val="00833A60"/>
    <w:rsid w:val="008364BB"/>
    <w:rsid w:val="00836CD3"/>
    <w:rsid w:val="0083741A"/>
    <w:rsid w:val="008400D8"/>
    <w:rsid w:val="00840368"/>
    <w:rsid w:val="0084207E"/>
    <w:rsid w:val="0084440C"/>
    <w:rsid w:val="00845286"/>
    <w:rsid w:val="008453A2"/>
    <w:rsid w:val="00850076"/>
    <w:rsid w:val="0085066C"/>
    <w:rsid w:val="0085197B"/>
    <w:rsid w:val="00852608"/>
    <w:rsid w:val="00852B42"/>
    <w:rsid w:val="00853CFE"/>
    <w:rsid w:val="00854672"/>
    <w:rsid w:val="00856078"/>
    <w:rsid w:val="00857842"/>
    <w:rsid w:val="00857C97"/>
    <w:rsid w:val="008614BC"/>
    <w:rsid w:val="00866611"/>
    <w:rsid w:val="0086750F"/>
    <w:rsid w:val="00870447"/>
    <w:rsid w:val="00872935"/>
    <w:rsid w:val="00872D01"/>
    <w:rsid w:val="00874FCC"/>
    <w:rsid w:val="008753C8"/>
    <w:rsid w:val="008758A1"/>
    <w:rsid w:val="00875D0C"/>
    <w:rsid w:val="00876B0F"/>
    <w:rsid w:val="00881F53"/>
    <w:rsid w:val="00883558"/>
    <w:rsid w:val="00884196"/>
    <w:rsid w:val="0088685C"/>
    <w:rsid w:val="00886A8F"/>
    <w:rsid w:val="0088701B"/>
    <w:rsid w:val="008903C1"/>
    <w:rsid w:val="00893C59"/>
    <w:rsid w:val="008A0702"/>
    <w:rsid w:val="008A090B"/>
    <w:rsid w:val="008A0B14"/>
    <w:rsid w:val="008A1D6F"/>
    <w:rsid w:val="008A21D9"/>
    <w:rsid w:val="008A3F3E"/>
    <w:rsid w:val="008A71B0"/>
    <w:rsid w:val="008A7EEE"/>
    <w:rsid w:val="008B03E6"/>
    <w:rsid w:val="008B3019"/>
    <w:rsid w:val="008B3DC6"/>
    <w:rsid w:val="008B3E05"/>
    <w:rsid w:val="008B4C84"/>
    <w:rsid w:val="008B60E0"/>
    <w:rsid w:val="008C2E1A"/>
    <w:rsid w:val="008C3219"/>
    <w:rsid w:val="008C49A7"/>
    <w:rsid w:val="008C4EFF"/>
    <w:rsid w:val="008D63A1"/>
    <w:rsid w:val="008D69D0"/>
    <w:rsid w:val="008D6A4E"/>
    <w:rsid w:val="008D7535"/>
    <w:rsid w:val="008D7F78"/>
    <w:rsid w:val="008E15A2"/>
    <w:rsid w:val="008E1C54"/>
    <w:rsid w:val="008E3ACA"/>
    <w:rsid w:val="008E48C9"/>
    <w:rsid w:val="008E4925"/>
    <w:rsid w:val="008F06DF"/>
    <w:rsid w:val="008F2A70"/>
    <w:rsid w:val="008F3473"/>
    <w:rsid w:val="00902958"/>
    <w:rsid w:val="009031CE"/>
    <w:rsid w:val="0090422B"/>
    <w:rsid w:val="00906BB7"/>
    <w:rsid w:val="00913580"/>
    <w:rsid w:val="00913627"/>
    <w:rsid w:val="00913EF7"/>
    <w:rsid w:val="00915ADC"/>
    <w:rsid w:val="0092021A"/>
    <w:rsid w:val="009210B6"/>
    <w:rsid w:val="009214D2"/>
    <w:rsid w:val="009242F1"/>
    <w:rsid w:val="0093050F"/>
    <w:rsid w:val="00930A39"/>
    <w:rsid w:val="009319FB"/>
    <w:rsid w:val="00934822"/>
    <w:rsid w:val="009362BE"/>
    <w:rsid w:val="00936D3E"/>
    <w:rsid w:val="009404D5"/>
    <w:rsid w:val="00940D15"/>
    <w:rsid w:val="009420DA"/>
    <w:rsid w:val="00942DAB"/>
    <w:rsid w:val="00944153"/>
    <w:rsid w:val="00944451"/>
    <w:rsid w:val="00947715"/>
    <w:rsid w:val="009505B1"/>
    <w:rsid w:val="009521A4"/>
    <w:rsid w:val="00953BC3"/>
    <w:rsid w:val="00954859"/>
    <w:rsid w:val="009548CD"/>
    <w:rsid w:val="00960BF7"/>
    <w:rsid w:val="00962581"/>
    <w:rsid w:val="00964A5E"/>
    <w:rsid w:val="00967233"/>
    <w:rsid w:val="00971CA0"/>
    <w:rsid w:val="00973FB5"/>
    <w:rsid w:val="00974BF3"/>
    <w:rsid w:val="009752DB"/>
    <w:rsid w:val="00976876"/>
    <w:rsid w:val="009772D0"/>
    <w:rsid w:val="009774A4"/>
    <w:rsid w:val="0098112D"/>
    <w:rsid w:val="0099257D"/>
    <w:rsid w:val="009938D6"/>
    <w:rsid w:val="00994892"/>
    <w:rsid w:val="009949D5"/>
    <w:rsid w:val="00994E23"/>
    <w:rsid w:val="00995253"/>
    <w:rsid w:val="00995914"/>
    <w:rsid w:val="00996F4D"/>
    <w:rsid w:val="00997E04"/>
    <w:rsid w:val="009A02F0"/>
    <w:rsid w:val="009A241E"/>
    <w:rsid w:val="009A3EE6"/>
    <w:rsid w:val="009A4B01"/>
    <w:rsid w:val="009B12AA"/>
    <w:rsid w:val="009B1D80"/>
    <w:rsid w:val="009B1EFA"/>
    <w:rsid w:val="009B3998"/>
    <w:rsid w:val="009B3F4C"/>
    <w:rsid w:val="009B65F9"/>
    <w:rsid w:val="009B6A4F"/>
    <w:rsid w:val="009B753B"/>
    <w:rsid w:val="009C0FE9"/>
    <w:rsid w:val="009C1013"/>
    <w:rsid w:val="009C180F"/>
    <w:rsid w:val="009C1862"/>
    <w:rsid w:val="009C42B3"/>
    <w:rsid w:val="009C5371"/>
    <w:rsid w:val="009C570B"/>
    <w:rsid w:val="009C5A60"/>
    <w:rsid w:val="009C743D"/>
    <w:rsid w:val="009D2669"/>
    <w:rsid w:val="009D3B94"/>
    <w:rsid w:val="009D4721"/>
    <w:rsid w:val="009E0887"/>
    <w:rsid w:val="009E08E5"/>
    <w:rsid w:val="009E445E"/>
    <w:rsid w:val="009E4ECB"/>
    <w:rsid w:val="009E5CC9"/>
    <w:rsid w:val="009E5E5D"/>
    <w:rsid w:val="009E6B0F"/>
    <w:rsid w:val="009F004A"/>
    <w:rsid w:val="009F39C3"/>
    <w:rsid w:val="009F4091"/>
    <w:rsid w:val="009F43C5"/>
    <w:rsid w:val="009F4444"/>
    <w:rsid w:val="009F5ACA"/>
    <w:rsid w:val="00A01B97"/>
    <w:rsid w:val="00A024B8"/>
    <w:rsid w:val="00A02653"/>
    <w:rsid w:val="00A0347E"/>
    <w:rsid w:val="00A05FCE"/>
    <w:rsid w:val="00A100C5"/>
    <w:rsid w:val="00A12D09"/>
    <w:rsid w:val="00A14AFC"/>
    <w:rsid w:val="00A14C98"/>
    <w:rsid w:val="00A15A3A"/>
    <w:rsid w:val="00A16856"/>
    <w:rsid w:val="00A16B7F"/>
    <w:rsid w:val="00A2325C"/>
    <w:rsid w:val="00A24D00"/>
    <w:rsid w:val="00A2571A"/>
    <w:rsid w:val="00A26683"/>
    <w:rsid w:val="00A27CDF"/>
    <w:rsid w:val="00A27F66"/>
    <w:rsid w:val="00A3137A"/>
    <w:rsid w:val="00A3199A"/>
    <w:rsid w:val="00A33AE7"/>
    <w:rsid w:val="00A343C3"/>
    <w:rsid w:val="00A36133"/>
    <w:rsid w:val="00A37161"/>
    <w:rsid w:val="00A42B70"/>
    <w:rsid w:val="00A42EC3"/>
    <w:rsid w:val="00A44918"/>
    <w:rsid w:val="00A51AD6"/>
    <w:rsid w:val="00A521AD"/>
    <w:rsid w:val="00A52E95"/>
    <w:rsid w:val="00A54B9B"/>
    <w:rsid w:val="00A5591B"/>
    <w:rsid w:val="00A56894"/>
    <w:rsid w:val="00A57C80"/>
    <w:rsid w:val="00A60CA6"/>
    <w:rsid w:val="00A61661"/>
    <w:rsid w:val="00A61C49"/>
    <w:rsid w:val="00A6315C"/>
    <w:rsid w:val="00A632E3"/>
    <w:rsid w:val="00A63FEA"/>
    <w:rsid w:val="00A64946"/>
    <w:rsid w:val="00A67569"/>
    <w:rsid w:val="00A70C57"/>
    <w:rsid w:val="00A7104D"/>
    <w:rsid w:val="00A721EC"/>
    <w:rsid w:val="00A74AED"/>
    <w:rsid w:val="00A754B0"/>
    <w:rsid w:val="00A765F1"/>
    <w:rsid w:val="00A826EA"/>
    <w:rsid w:val="00A833AC"/>
    <w:rsid w:val="00A862CF"/>
    <w:rsid w:val="00A86CB8"/>
    <w:rsid w:val="00A92599"/>
    <w:rsid w:val="00A92FA1"/>
    <w:rsid w:val="00A9364E"/>
    <w:rsid w:val="00A939E8"/>
    <w:rsid w:val="00A973E5"/>
    <w:rsid w:val="00A976E2"/>
    <w:rsid w:val="00A97DBF"/>
    <w:rsid w:val="00AA2B74"/>
    <w:rsid w:val="00AA3B2D"/>
    <w:rsid w:val="00AA4257"/>
    <w:rsid w:val="00AA5B67"/>
    <w:rsid w:val="00AA5D8F"/>
    <w:rsid w:val="00AA6D5F"/>
    <w:rsid w:val="00AA748F"/>
    <w:rsid w:val="00AA76BC"/>
    <w:rsid w:val="00AA79F6"/>
    <w:rsid w:val="00AB128E"/>
    <w:rsid w:val="00AB2DFB"/>
    <w:rsid w:val="00AB3A7D"/>
    <w:rsid w:val="00AB4AF2"/>
    <w:rsid w:val="00AB6ADF"/>
    <w:rsid w:val="00AC04DE"/>
    <w:rsid w:val="00AC10D9"/>
    <w:rsid w:val="00AC35D9"/>
    <w:rsid w:val="00AC4C51"/>
    <w:rsid w:val="00AC58B1"/>
    <w:rsid w:val="00AD11F7"/>
    <w:rsid w:val="00AD197A"/>
    <w:rsid w:val="00AD1DDC"/>
    <w:rsid w:val="00AD447D"/>
    <w:rsid w:val="00AD509D"/>
    <w:rsid w:val="00AD57BB"/>
    <w:rsid w:val="00AD768E"/>
    <w:rsid w:val="00AD78D1"/>
    <w:rsid w:val="00AE0A02"/>
    <w:rsid w:val="00AE312D"/>
    <w:rsid w:val="00AE3B96"/>
    <w:rsid w:val="00AE711D"/>
    <w:rsid w:val="00AF136D"/>
    <w:rsid w:val="00AF37A4"/>
    <w:rsid w:val="00AF4491"/>
    <w:rsid w:val="00AF6E43"/>
    <w:rsid w:val="00B0045B"/>
    <w:rsid w:val="00B01B42"/>
    <w:rsid w:val="00B02C97"/>
    <w:rsid w:val="00B0334C"/>
    <w:rsid w:val="00B04A39"/>
    <w:rsid w:val="00B0595B"/>
    <w:rsid w:val="00B11AB9"/>
    <w:rsid w:val="00B12711"/>
    <w:rsid w:val="00B15440"/>
    <w:rsid w:val="00B16E50"/>
    <w:rsid w:val="00B2000B"/>
    <w:rsid w:val="00B21696"/>
    <w:rsid w:val="00B218E3"/>
    <w:rsid w:val="00B21CA5"/>
    <w:rsid w:val="00B23FC5"/>
    <w:rsid w:val="00B26426"/>
    <w:rsid w:val="00B2745C"/>
    <w:rsid w:val="00B30254"/>
    <w:rsid w:val="00B305FE"/>
    <w:rsid w:val="00B31BB4"/>
    <w:rsid w:val="00B345F5"/>
    <w:rsid w:val="00B34758"/>
    <w:rsid w:val="00B42BA9"/>
    <w:rsid w:val="00B42E8F"/>
    <w:rsid w:val="00B4323B"/>
    <w:rsid w:val="00B449E0"/>
    <w:rsid w:val="00B45302"/>
    <w:rsid w:val="00B46593"/>
    <w:rsid w:val="00B47B06"/>
    <w:rsid w:val="00B47EB9"/>
    <w:rsid w:val="00B50C35"/>
    <w:rsid w:val="00B510FE"/>
    <w:rsid w:val="00B53151"/>
    <w:rsid w:val="00B56434"/>
    <w:rsid w:val="00B56FBD"/>
    <w:rsid w:val="00B62447"/>
    <w:rsid w:val="00B64B8D"/>
    <w:rsid w:val="00B65331"/>
    <w:rsid w:val="00B65820"/>
    <w:rsid w:val="00B66E71"/>
    <w:rsid w:val="00B72191"/>
    <w:rsid w:val="00B731FA"/>
    <w:rsid w:val="00B7340F"/>
    <w:rsid w:val="00B738B4"/>
    <w:rsid w:val="00B73EF7"/>
    <w:rsid w:val="00B760A5"/>
    <w:rsid w:val="00B770E6"/>
    <w:rsid w:val="00B809BD"/>
    <w:rsid w:val="00B82C7D"/>
    <w:rsid w:val="00B83C0D"/>
    <w:rsid w:val="00B8462E"/>
    <w:rsid w:val="00B847C4"/>
    <w:rsid w:val="00B86551"/>
    <w:rsid w:val="00B9113E"/>
    <w:rsid w:val="00B913B8"/>
    <w:rsid w:val="00B92CB1"/>
    <w:rsid w:val="00B9412B"/>
    <w:rsid w:val="00B94A1E"/>
    <w:rsid w:val="00B9565E"/>
    <w:rsid w:val="00BA0A8A"/>
    <w:rsid w:val="00BA1853"/>
    <w:rsid w:val="00BA1F14"/>
    <w:rsid w:val="00BA37A4"/>
    <w:rsid w:val="00BA4C7B"/>
    <w:rsid w:val="00BA57D9"/>
    <w:rsid w:val="00BA58CD"/>
    <w:rsid w:val="00BA601E"/>
    <w:rsid w:val="00BA7BE8"/>
    <w:rsid w:val="00BB2D2C"/>
    <w:rsid w:val="00BB3F7A"/>
    <w:rsid w:val="00BB45B7"/>
    <w:rsid w:val="00BB582D"/>
    <w:rsid w:val="00BB69FF"/>
    <w:rsid w:val="00BB7B49"/>
    <w:rsid w:val="00BC24B3"/>
    <w:rsid w:val="00BC4EEA"/>
    <w:rsid w:val="00BC6BA7"/>
    <w:rsid w:val="00BC75D2"/>
    <w:rsid w:val="00BD391A"/>
    <w:rsid w:val="00BD4196"/>
    <w:rsid w:val="00BD5AF2"/>
    <w:rsid w:val="00BD7172"/>
    <w:rsid w:val="00BD7505"/>
    <w:rsid w:val="00BE0992"/>
    <w:rsid w:val="00BE190E"/>
    <w:rsid w:val="00BE3760"/>
    <w:rsid w:val="00BE544E"/>
    <w:rsid w:val="00BE78B2"/>
    <w:rsid w:val="00BF2689"/>
    <w:rsid w:val="00BF2E7B"/>
    <w:rsid w:val="00BF49DE"/>
    <w:rsid w:val="00BF77D5"/>
    <w:rsid w:val="00C00CBE"/>
    <w:rsid w:val="00C03675"/>
    <w:rsid w:val="00C03793"/>
    <w:rsid w:val="00C03C82"/>
    <w:rsid w:val="00C0522E"/>
    <w:rsid w:val="00C05BCC"/>
    <w:rsid w:val="00C05DDA"/>
    <w:rsid w:val="00C05F82"/>
    <w:rsid w:val="00C06044"/>
    <w:rsid w:val="00C072AD"/>
    <w:rsid w:val="00C11654"/>
    <w:rsid w:val="00C118D0"/>
    <w:rsid w:val="00C11F2E"/>
    <w:rsid w:val="00C15029"/>
    <w:rsid w:val="00C20810"/>
    <w:rsid w:val="00C221DB"/>
    <w:rsid w:val="00C22D8A"/>
    <w:rsid w:val="00C23B12"/>
    <w:rsid w:val="00C23E4F"/>
    <w:rsid w:val="00C3128C"/>
    <w:rsid w:val="00C31437"/>
    <w:rsid w:val="00C31AB0"/>
    <w:rsid w:val="00C33EFA"/>
    <w:rsid w:val="00C35553"/>
    <w:rsid w:val="00C374F3"/>
    <w:rsid w:val="00C412B8"/>
    <w:rsid w:val="00C41D08"/>
    <w:rsid w:val="00C42F6D"/>
    <w:rsid w:val="00C44EC0"/>
    <w:rsid w:val="00C452A3"/>
    <w:rsid w:val="00C45648"/>
    <w:rsid w:val="00C464BD"/>
    <w:rsid w:val="00C515BD"/>
    <w:rsid w:val="00C51BA3"/>
    <w:rsid w:val="00C53452"/>
    <w:rsid w:val="00C554D0"/>
    <w:rsid w:val="00C55B87"/>
    <w:rsid w:val="00C5794C"/>
    <w:rsid w:val="00C631DE"/>
    <w:rsid w:val="00C656F6"/>
    <w:rsid w:val="00C66D2F"/>
    <w:rsid w:val="00C671E3"/>
    <w:rsid w:val="00C70DAC"/>
    <w:rsid w:val="00C74512"/>
    <w:rsid w:val="00C75E35"/>
    <w:rsid w:val="00C80369"/>
    <w:rsid w:val="00C8121E"/>
    <w:rsid w:val="00C82826"/>
    <w:rsid w:val="00C82BC6"/>
    <w:rsid w:val="00C8305B"/>
    <w:rsid w:val="00C84559"/>
    <w:rsid w:val="00C873C2"/>
    <w:rsid w:val="00C9048C"/>
    <w:rsid w:val="00C927B2"/>
    <w:rsid w:val="00C93181"/>
    <w:rsid w:val="00C93EA0"/>
    <w:rsid w:val="00C94194"/>
    <w:rsid w:val="00C94D43"/>
    <w:rsid w:val="00C97A85"/>
    <w:rsid w:val="00CA08F7"/>
    <w:rsid w:val="00CA1687"/>
    <w:rsid w:val="00CA22B4"/>
    <w:rsid w:val="00CA3B80"/>
    <w:rsid w:val="00CA45F3"/>
    <w:rsid w:val="00CA59C5"/>
    <w:rsid w:val="00CA6474"/>
    <w:rsid w:val="00CB2752"/>
    <w:rsid w:val="00CB6273"/>
    <w:rsid w:val="00CB7938"/>
    <w:rsid w:val="00CC00EA"/>
    <w:rsid w:val="00CC09D8"/>
    <w:rsid w:val="00CC59DF"/>
    <w:rsid w:val="00CC65FF"/>
    <w:rsid w:val="00CD1704"/>
    <w:rsid w:val="00CD24EB"/>
    <w:rsid w:val="00CD41A5"/>
    <w:rsid w:val="00CD4426"/>
    <w:rsid w:val="00CD4FC9"/>
    <w:rsid w:val="00CE0ABA"/>
    <w:rsid w:val="00CE2327"/>
    <w:rsid w:val="00CE38EB"/>
    <w:rsid w:val="00CF1006"/>
    <w:rsid w:val="00CF63DE"/>
    <w:rsid w:val="00CF7060"/>
    <w:rsid w:val="00CF72B2"/>
    <w:rsid w:val="00CF75CF"/>
    <w:rsid w:val="00D00970"/>
    <w:rsid w:val="00D0197C"/>
    <w:rsid w:val="00D026B3"/>
    <w:rsid w:val="00D03A11"/>
    <w:rsid w:val="00D04EF5"/>
    <w:rsid w:val="00D05DA1"/>
    <w:rsid w:val="00D074FC"/>
    <w:rsid w:val="00D123C3"/>
    <w:rsid w:val="00D12607"/>
    <w:rsid w:val="00D1505E"/>
    <w:rsid w:val="00D16436"/>
    <w:rsid w:val="00D16993"/>
    <w:rsid w:val="00D16A6D"/>
    <w:rsid w:val="00D179F0"/>
    <w:rsid w:val="00D17AFC"/>
    <w:rsid w:val="00D17B5D"/>
    <w:rsid w:val="00D200D2"/>
    <w:rsid w:val="00D2047E"/>
    <w:rsid w:val="00D20846"/>
    <w:rsid w:val="00D20C65"/>
    <w:rsid w:val="00D21FAC"/>
    <w:rsid w:val="00D24B53"/>
    <w:rsid w:val="00D25C56"/>
    <w:rsid w:val="00D26526"/>
    <w:rsid w:val="00D30016"/>
    <w:rsid w:val="00D32BA6"/>
    <w:rsid w:val="00D350C5"/>
    <w:rsid w:val="00D35150"/>
    <w:rsid w:val="00D417E4"/>
    <w:rsid w:val="00D43F59"/>
    <w:rsid w:val="00D453DD"/>
    <w:rsid w:val="00D45D6C"/>
    <w:rsid w:val="00D46062"/>
    <w:rsid w:val="00D46265"/>
    <w:rsid w:val="00D462C6"/>
    <w:rsid w:val="00D46D18"/>
    <w:rsid w:val="00D522BA"/>
    <w:rsid w:val="00D55672"/>
    <w:rsid w:val="00D57708"/>
    <w:rsid w:val="00D57FCD"/>
    <w:rsid w:val="00D610AD"/>
    <w:rsid w:val="00D62D25"/>
    <w:rsid w:val="00D63D37"/>
    <w:rsid w:val="00D65455"/>
    <w:rsid w:val="00D658B6"/>
    <w:rsid w:val="00D65E23"/>
    <w:rsid w:val="00D6609F"/>
    <w:rsid w:val="00D66FDF"/>
    <w:rsid w:val="00D71EF9"/>
    <w:rsid w:val="00D73926"/>
    <w:rsid w:val="00D73C00"/>
    <w:rsid w:val="00D742F4"/>
    <w:rsid w:val="00D746BA"/>
    <w:rsid w:val="00D75407"/>
    <w:rsid w:val="00D7724E"/>
    <w:rsid w:val="00D77D1C"/>
    <w:rsid w:val="00D83433"/>
    <w:rsid w:val="00D83953"/>
    <w:rsid w:val="00D84978"/>
    <w:rsid w:val="00D8521A"/>
    <w:rsid w:val="00D87357"/>
    <w:rsid w:val="00D87BC4"/>
    <w:rsid w:val="00D90CE8"/>
    <w:rsid w:val="00D91DF2"/>
    <w:rsid w:val="00D9628A"/>
    <w:rsid w:val="00D97F91"/>
    <w:rsid w:val="00DA3573"/>
    <w:rsid w:val="00DA5212"/>
    <w:rsid w:val="00DA6864"/>
    <w:rsid w:val="00DA6ADC"/>
    <w:rsid w:val="00DB0959"/>
    <w:rsid w:val="00DB3DA5"/>
    <w:rsid w:val="00DB640C"/>
    <w:rsid w:val="00DB7341"/>
    <w:rsid w:val="00DB79CE"/>
    <w:rsid w:val="00DB7C68"/>
    <w:rsid w:val="00DC170F"/>
    <w:rsid w:val="00DC2391"/>
    <w:rsid w:val="00DC2B19"/>
    <w:rsid w:val="00DC3DE2"/>
    <w:rsid w:val="00DC4DF2"/>
    <w:rsid w:val="00DD0252"/>
    <w:rsid w:val="00DD1BF9"/>
    <w:rsid w:val="00DD4BFD"/>
    <w:rsid w:val="00DD55D5"/>
    <w:rsid w:val="00DE3232"/>
    <w:rsid w:val="00DE44A4"/>
    <w:rsid w:val="00DF14C8"/>
    <w:rsid w:val="00DF44D2"/>
    <w:rsid w:val="00DF5B8A"/>
    <w:rsid w:val="00DF5C4E"/>
    <w:rsid w:val="00DF609C"/>
    <w:rsid w:val="00DF6EAD"/>
    <w:rsid w:val="00DF731F"/>
    <w:rsid w:val="00DF78E0"/>
    <w:rsid w:val="00E013D8"/>
    <w:rsid w:val="00E01A9A"/>
    <w:rsid w:val="00E02FFC"/>
    <w:rsid w:val="00E03F33"/>
    <w:rsid w:val="00E07971"/>
    <w:rsid w:val="00E100B5"/>
    <w:rsid w:val="00E12164"/>
    <w:rsid w:val="00E12C4D"/>
    <w:rsid w:val="00E12F8C"/>
    <w:rsid w:val="00E142AB"/>
    <w:rsid w:val="00E22753"/>
    <w:rsid w:val="00E24026"/>
    <w:rsid w:val="00E264EF"/>
    <w:rsid w:val="00E319B5"/>
    <w:rsid w:val="00E32A49"/>
    <w:rsid w:val="00E32AA2"/>
    <w:rsid w:val="00E33D65"/>
    <w:rsid w:val="00E3634C"/>
    <w:rsid w:val="00E3739D"/>
    <w:rsid w:val="00E4015F"/>
    <w:rsid w:val="00E40F1F"/>
    <w:rsid w:val="00E41FC9"/>
    <w:rsid w:val="00E44247"/>
    <w:rsid w:val="00E46F48"/>
    <w:rsid w:val="00E554E5"/>
    <w:rsid w:val="00E55FD8"/>
    <w:rsid w:val="00E568A0"/>
    <w:rsid w:val="00E569F6"/>
    <w:rsid w:val="00E57F55"/>
    <w:rsid w:val="00E62F2B"/>
    <w:rsid w:val="00E650B8"/>
    <w:rsid w:val="00E65414"/>
    <w:rsid w:val="00E655F9"/>
    <w:rsid w:val="00E65A26"/>
    <w:rsid w:val="00E6630A"/>
    <w:rsid w:val="00E675E1"/>
    <w:rsid w:val="00E72462"/>
    <w:rsid w:val="00E730F9"/>
    <w:rsid w:val="00E737AD"/>
    <w:rsid w:val="00E76216"/>
    <w:rsid w:val="00E77B5E"/>
    <w:rsid w:val="00E77EFD"/>
    <w:rsid w:val="00E77FD6"/>
    <w:rsid w:val="00E81EDD"/>
    <w:rsid w:val="00E823E1"/>
    <w:rsid w:val="00E8259E"/>
    <w:rsid w:val="00E82710"/>
    <w:rsid w:val="00E8290E"/>
    <w:rsid w:val="00E8351A"/>
    <w:rsid w:val="00E85920"/>
    <w:rsid w:val="00E8645C"/>
    <w:rsid w:val="00E91855"/>
    <w:rsid w:val="00E91B21"/>
    <w:rsid w:val="00E957E8"/>
    <w:rsid w:val="00E95C06"/>
    <w:rsid w:val="00EA06C1"/>
    <w:rsid w:val="00EA15EA"/>
    <w:rsid w:val="00EA279A"/>
    <w:rsid w:val="00EA2AE4"/>
    <w:rsid w:val="00EA2BC4"/>
    <w:rsid w:val="00EA6884"/>
    <w:rsid w:val="00EA6AFF"/>
    <w:rsid w:val="00EB263F"/>
    <w:rsid w:val="00EB3E2D"/>
    <w:rsid w:val="00EB5642"/>
    <w:rsid w:val="00EB6491"/>
    <w:rsid w:val="00EC3BE0"/>
    <w:rsid w:val="00EC4355"/>
    <w:rsid w:val="00EC4CA3"/>
    <w:rsid w:val="00EC5114"/>
    <w:rsid w:val="00EC62FE"/>
    <w:rsid w:val="00EC77D6"/>
    <w:rsid w:val="00ED08F0"/>
    <w:rsid w:val="00ED0DCD"/>
    <w:rsid w:val="00ED273D"/>
    <w:rsid w:val="00ED4157"/>
    <w:rsid w:val="00ED57FD"/>
    <w:rsid w:val="00ED5A72"/>
    <w:rsid w:val="00ED7977"/>
    <w:rsid w:val="00ED7BEA"/>
    <w:rsid w:val="00EE2149"/>
    <w:rsid w:val="00EE2609"/>
    <w:rsid w:val="00EE3014"/>
    <w:rsid w:val="00EE6308"/>
    <w:rsid w:val="00EE6817"/>
    <w:rsid w:val="00EE7327"/>
    <w:rsid w:val="00EF116B"/>
    <w:rsid w:val="00EF1286"/>
    <w:rsid w:val="00EF1C28"/>
    <w:rsid w:val="00EF4A44"/>
    <w:rsid w:val="00EF6326"/>
    <w:rsid w:val="00EF7EE0"/>
    <w:rsid w:val="00F03ADD"/>
    <w:rsid w:val="00F050E8"/>
    <w:rsid w:val="00F054EB"/>
    <w:rsid w:val="00F0620E"/>
    <w:rsid w:val="00F06E6F"/>
    <w:rsid w:val="00F078E8"/>
    <w:rsid w:val="00F1015B"/>
    <w:rsid w:val="00F1073E"/>
    <w:rsid w:val="00F10F0B"/>
    <w:rsid w:val="00F14565"/>
    <w:rsid w:val="00F14AC4"/>
    <w:rsid w:val="00F14DE2"/>
    <w:rsid w:val="00F158F0"/>
    <w:rsid w:val="00F178E3"/>
    <w:rsid w:val="00F17B98"/>
    <w:rsid w:val="00F20635"/>
    <w:rsid w:val="00F212B0"/>
    <w:rsid w:val="00F24FA6"/>
    <w:rsid w:val="00F26802"/>
    <w:rsid w:val="00F273B2"/>
    <w:rsid w:val="00F3271C"/>
    <w:rsid w:val="00F3340B"/>
    <w:rsid w:val="00F3447D"/>
    <w:rsid w:val="00F3571E"/>
    <w:rsid w:val="00F35A73"/>
    <w:rsid w:val="00F35B20"/>
    <w:rsid w:val="00F35D1B"/>
    <w:rsid w:val="00F3701F"/>
    <w:rsid w:val="00F3779E"/>
    <w:rsid w:val="00F404A1"/>
    <w:rsid w:val="00F4147C"/>
    <w:rsid w:val="00F42C26"/>
    <w:rsid w:val="00F42C78"/>
    <w:rsid w:val="00F4341E"/>
    <w:rsid w:val="00F44F51"/>
    <w:rsid w:val="00F45A8F"/>
    <w:rsid w:val="00F468A5"/>
    <w:rsid w:val="00F469E7"/>
    <w:rsid w:val="00F537E0"/>
    <w:rsid w:val="00F541FD"/>
    <w:rsid w:val="00F54B1B"/>
    <w:rsid w:val="00F5516A"/>
    <w:rsid w:val="00F5614E"/>
    <w:rsid w:val="00F57EEB"/>
    <w:rsid w:val="00F60F3D"/>
    <w:rsid w:val="00F63142"/>
    <w:rsid w:val="00F6501A"/>
    <w:rsid w:val="00F670E2"/>
    <w:rsid w:val="00F72185"/>
    <w:rsid w:val="00F72215"/>
    <w:rsid w:val="00F7232A"/>
    <w:rsid w:val="00F726AB"/>
    <w:rsid w:val="00F72D25"/>
    <w:rsid w:val="00F752C5"/>
    <w:rsid w:val="00F770A7"/>
    <w:rsid w:val="00F82343"/>
    <w:rsid w:val="00F825B0"/>
    <w:rsid w:val="00F84396"/>
    <w:rsid w:val="00F85D07"/>
    <w:rsid w:val="00F868FF"/>
    <w:rsid w:val="00F905F0"/>
    <w:rsid w:val="00F9076E"/>
    <w:rsid w:val="00F943CC"/>
    <w:rsid w:val="00F95CBB"/>
    <w:rsid w:val="00F960DA"/>
    <w:rsid w:val="00F9749F"/>
    <w:rsid w:val="00FA0D50"/>
    <w:rsid w:val="00FA4CE0"/>
    <w:rsid w:val="00FA60BE"/>
    <w:rsid w:val="00FA6853"/>
    <w:rsid w:val="00FA71BC"/>
    <w:rsid w:val="00FA7C0E"/>
    <w:rsid w:val="00FB0539"/>
    <w:rsid w:val="00FB148E"/>
    <w:rsid w:val="00FB1634"/>
    <w:rsid w:val="00FB3B3C"/>
    <w:rsid w:val="00FB3B7F"/>
    <w:rsid w:val="00FB3D9A"/>
    <w:rsid w:val="00FB4CC3"/>
    <w:rsid w:val="00FC04B7"/>
    <w:rsid w:val="00FC0584"/>
    <w:rsid w:val="00FC2540"/>
    <w:rsid w:val="00FC2BD2"/>
    <w:rsid w:val="00FC3541"/>
    <w:rsid w:val="00FC41C8"/>
    <w:rsid w:val="00FC4A38"/>
    <w:rsid w:val="00FC7901"/>
    <w:rsid w:val="00FD3F0A"/>
    <w:rsid w:val="00FD5CA4"/>
    <w:rsid w:val="00FD6F85"/>
    <w:rsid w:val="00FD7B05"/>
    <w:rsid w:val="00FE1001"/>
    <w:rsid w:val="00FE24DF"/>
    <w:rsid w:val="00FE2767"/>
    <w:rsid w:val="00FE311E"/>
    <w:rsid w:val="00FE4BD3"/>
    <w:rsid w:val="00FE5D4B"/>
    <w:rsid w:val="00FE718B"/>
    <w:rsid w:val="00FE7F3B"/>
    <w:rsid w:val="00FF042F"/>
    <w:rsid w:val="00FF1674"/>
    <w:rsid w:val="00FF3368"/>
    <w:rsid w:val="00FF4D36"/>
    <w:rsid w:val="00FF678A"/>
    <w:rsid w:val="00FF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BE58D45"/>
  <w15:docId w15:val="{3BB21652-A8D4-470D-B7F1-7664A5A6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630"/>
    <w:rPr>
      <w:rFonts w:ascii="Arial" w:hAnsi="Arial"/>
      <w:sz w:val="24"/>
      <w:lang w:eastAsia="en-US"/>
    </w:rPr>
  </w:style>
  <w:style w:type="paragraph" w:styleId="Heading1">
    <w:name w:val="heading 1"/>
    <w:basedOn w:val="Normal"/>
    <w:next w:val="Normal"/>
    <w:link w:val="Heading1Char"/>
    <w:uiPriority w:val="9"/>
    <w:qFormat/>
    <w:rsid w:val="007E59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551660"/>
    <w:pPr>
      <w:keepNext/>
      <w:outlineLvl w:val="4"/>
    </w:pPr>
    <w:rPr>
      <w:rFonts w:ascii="Times New Roman" w:hAnsi="Times New Roman"/>
      <w:b/>
      <w:sz w:val="20"/>
      <w:lang w:eastAsia="en-GB"/>
    </w:rPr>
  </w:style>
  <w:style w:type="paragraph" w:styleId="Heading7">
    <w:name w:val="heading 7"/>
    <w:basedOn w:val="Normal"/>
    <w:next w:val="Normal"/>
    <w:link w:val="Heading7Char"/>
    <w:qFormat/>
    <w:rsid w:val="00551660"/>
    <w:pPr>
      <w:keepNext/>
      <w:outlineLvl w:val="6"/>
    </w:pPr>
    <w:rPr>
      <w:rFonts w:ascii="Times New Roman" w:hAnsi="Times New Roman"/>
      <w:b/>
      <w:sz w:val="3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2540"/>
    <w:pPr>
      <w:ind w:firstLine="720"/>
    </w:pPr>
    <w:rPr>
      <w:b/>
      <w:bCs/>
    </w:rPr>
  </w:style>
  <w:style w:type="table" w:styleId="TableGrid">
    <w:name w:val="Table Grid"/>
    <w:basedOn w:val="TableNormal"/>
    <w:uiPriority w:val="59"/>
    <w:rsid w:val="00FC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2540"/>
    <w:pPr>
      <w:autoSpaceDE w:val="0"/>
      <w:autoSpaceDN w:val="0"/>
      <w:adjustRightInd w:val="0"/>
    </w:pPr>
    <w:rPr>
      <w:rFonts w:ascii="Arial" w:hAnsi="Arial" w:cs="Arial"/>
      <w:color w:val="000000"/>
      <w:sz w:val="24"/>
      <w:szCs w:val="24"/>
    </w:rPr>
  </w:style>
  <w:style w:type="character" w:styleId="Hyperlink">
    <w:name w:val="Hyperlink"/>
    <w:uiPriority w:val="99"/>
    <w:rsid w:val="004C4690"/>
    <w:rPr>
      <w:color w:val="0000FF"/>
      <w:u w:val="single"/>
    </w:rPr>
  </w:style>
  <w:style w:type="paragraph" w:styleId="BalloonText">
    <w:name w:val="Balloon Text"/>
    <w:basedOn w:val="Normal"/>
    <w:semiHidden/>
    <w:rsid w:val="00884196"/>
    <w:rPr>
      <w:rFonts w:ascii="Tahoma" w:hAnsi="Tahoma" w:cs="Tahoma"/>
      <w:sz w:val="16"/>
      <w:szCs w:val="16"/>
    </w:rPr>
  </w:style>
  <w:style w:type="paragraph" w:styleId="Header">
    <w:name w:val="header"/>
    <w:basedOn w:val="Normal"/>
    <w:link w:val="HeaderChar"/>
    <w:uiPriority w:val="99"/>
    <w:rsid w:val="007B29E0"/>
    <w:pPr>
      <w:tabs>
        <w:tab w:val="center" w:pos="4153"/>
        <w:tab w:val="right" w:pos="8306"/>
      </w:tabs>
    </w:pPr>
  </w:style>
  <w:style w:type="paragraph" w:styleId="Footer">
    <w:name w:val="footer"/>
    <w:basedOn w:val="Normal"/>
    <w:link w:val="FooterChar"/>
    <w:uiPriority w:val="99"/>
    <w:rsid w:val="007B29E0"/>
    <w:pPr>
      <w:tabs>
        <w:tab w:val="center" w:pos="4153"/>
        <w:tab w:val="right" w:pos="8306"/>
      </w:tabs>
    </w:pPr>
  </w:style>
  <w:style w:type="paragraph" w:styleId="BodyText2">
    <w:name w:val="Body Text 2"/>
    <w:basedOn w:val="Normal"/>
    <w:link w:val="BodyText2Char"/>
    <w:rsid w:val="006057DB"/>
    <w:pPr>
      <w:spacing w:after="120" w:line="480" w:lineRule="auto"/>
    </w:pPr>
  </w:style>
  <w:style w:type="character" w:customStyle="1" w:styleId="BodyText2Char">
    <w:name w:val="Body Text 2 Char"/>
    <w:link w:val="BodyText2"/>
    <w:rsid w:val="006057DB"/>
    <w:rPr>
      <w:rFonts w:ascii="Arial" w:hAnsi="Arial"/>
      <w:sz w:val="24"/>
      <w:lang w:eastAsia="en-US"/>
    </w:rPr>
  </w:style>
  <w:style w:type="paragraph" w:styleId="ListParagraph">
    <w:name w:val="List Paragraph"/>
    <w:basedOn w:val="Normal"/>
    <w:uiPriority w:val="34"/>
    <w:qFormat/>
    <w:rsid w:val="00856078"/>
    <w:pPr>
      <w:ind w:left="720"/>
    </w:pPr>
  </w:style>
  <w:style w:type="paragraph" w:styleId="PlainText">
    <w:name w:val="Plain Text"/>
    <w:basedOn w:val="Normal"/>
    <w:link w:val="PlainTextChar"/>
    <w:uiPriority w:val="99"/>
    <w:unhideWhenUsed/>
    <w:rsid w:val="00D453DD"/>
    <w:rPr>
      <w:rFonts w:ascii="Calibri" w:eastAsia="Calibri" w:hAnsi="Calibri"/>
      <w:sz w:val="22"/>
      <w:szCs w:val="21"/>
    </w:rPr>
  </w:style>
  <w:style w:type="character" w:customStyle="1" w:styleId="PlainTextChar">
    <w:name w:val="Plain Text Char"/>
    <w:link w:val="PlainText"/>
    <w:uiPriority w:val="99"/>
    <w:rsid w:val="00D453DD"/>
    <w:rPr>
      <w:rFonts w:ascii="Calibri" w:eastAsia="Calibri" w:hAnsi="Calibri"/>
      <w:sz w:val="22"/>
      <w:szCs w:val="21"/>
      <w:lang w:eastAsia="en-US"/>
    </w:rPr>
  </w:style>
  <w:style w:type="character" w:customStyle="1" w:styleId="FooterChar">
    <w:name w:val="Footer Char"/>
    <w:basedOn w:val="DefaultParagraphFont"/>
    <w:link w:val="Footer"/>
    <w:uiPriority w:val="99"/>
    <w:rsid w:val="00BB3F7A"/>
    <w:rPr>
      <w:rFonts w:ascii="Arial" w:hAnsi="Arial"/>
      <w:sz w:val="24"/>
      <w:lang w:eastAsia="en-US"/>
    </w:rPr>
  </w:style>
  <w:style w:type="character" w:customStyle="1" w:styleId="Heading5Char">
    <w:name w:val="Heading 5 Char"/>
    <w:basedOn w:val="DefaultParagraphFont"/>
    <w:link w:val="Heading5"/>
    <w:rsid w:val="00551660"/>
    <w:rPr>
      <w:b/>
    </w:rPr>
  </w:style>
  <w:style w:type="character" w:customStyle="1" w:styleId="Heading7Char">
    <w:name w:val="Heading 7 Char"/>
    <w:basedOn w:val="DefaultParagraphFont"/>
    <w:link w:val="Heading7"/>
    <w:rsid w:val="00551660"/>
    <w:rPr>
      <w:b/>
      <w:sz w:val="36"/>
      <w:u w:val="single"/>
    </w:rPr>
  </w:style>
  <w:style w:type="character" w:customStyle="1" w:styleId="HeaderChar">
    <w:name w:val="Header Char"/>
    <w:basedOn w:val="DefaultParagraphFont"/>
    <w:link w:val="Header"/>
    <w:uiPriority w:val="99"/>
    <w:rsid w:val="00551660"/>
    <w:rPr>
      <w:rFonts w:ascii="Arial" w:hAnsi="Arial"/>
      <w:sz w:val="24"/>
      <w:lang w:eastAsia="en-US"/>
    </w:rPr>
  </w:style>
  <w:style w:type="character" w:customStyle="1" w:styleId="Heading1Char">
    <w:name w:val="Heading 1 Char"/>
    <w:basedOn w:val="DefaultParagraphFont"/>
    <w:link w:val="Heading1"/>
    <w:uiPriority w:val="9"/>
    <w:rsid w:val="007E595D"/>
    <w:rPr>
      <w:rFonts w:asciiTheme="majorHAnsi" w:eastAsiaTheme="majorEastAsia" w:hAnsiTheme="majorHAnsi" w:cstheme="majorBidi"/>
      <w:b/>
      <w:bCs/>
      <w:color w:val="365F91" w:themeColor="accent1" w:themeShade="BF"/>
      <w:sz w:val="28"/>
      <w:szCs w:val="28"/>
      <w:lang w:eastAsia="en-US"/>
    </w:rPr>
  </w:style>
  <w:style w:type="table" w:customStyle="1" w:styleId="TableGrid1">
    <w:name w:val="Table Grid1"/>
    <w:basedOn w:val="TableNormal"/>
    <w:next w:val="TableGrid"/>
    <w:uiPriority w:val="59"/>
    <w:rsid w:val="00427D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0E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901F2"/>
    <w:rPr>
      <w:color w:val="800080" w:themeColor="followedHyperlink"/>
      <w:u w:val="single"/>
    </w:rPr>
  </w:style>
  <w:style w:type="character" w:customStyle="1" w:styleId="BodyTextIndentChar">
    <w:name w:val="Body Text Indent Char"/>
    <w:basedOn w:val="DefaultParagraphFont"/>
    <w:link w:val="BodyTextIndent"/>
    <w:rsid w:val="0009042D"/>
    <w:rPr>
      <w:rFonts w:ascii="Arial" w:hAnsi="Arial"/>
      <w:b/>
      <w:bCs/>
      <w:sz w:val="24"/>
      <w:lang w:eastAsia="en-US"/>
    </w:rPr>
  </w:style>
  <w:style w:type="table" w:customStyle="1" w:styleId="TableGrid3">
    <w:name w:val="Table Grid3"/>
    <w:basedOn w:val="TableNormal"/>
    <w:next w:val="TableGrid"/>
    <w:uiPriority w:val="59"/>
    <w:rsid w:val="00236A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847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847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47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70F84"/>
    <w:rPr>
      <w:sz w:val="16"/>
      <w:szCs w:val="16"/>
    </w:rPr>
  </w:style>
  <w:style w:type="paragraph" w:styleId="CommentText">
    <w:name w:val="annotation text"/>
    <w:basedOn w:val="Normal"/>
    <w:link w:val="CommentTextChar"/>
    <w:rsid w:val="00370F84"/>
    <w:rPr>
      <w:sz w:val="20"/>
    </w:rPr>
  </w:style>
  <w:style w:type="character" w:customStyle="1" w:styleId="CommentTextChar">
    <w:name w:val="Comment Text Char"/>
    <w:basedOn w:val="DefaultParagraphFont"/>
    <w:link w:val="CommentText"/>
    <w:rsid w:val="00370F84"/>
    <w:rPr>
      <w:rFonts w:ascii="Arial" w:hAnsi="Arial"/>
      <w:lang w:eastAsia="en-US"/>
    </w:rPr>
  </w:style>
  <w:style w:type="paragraph" w:styleId="CommentSubject">
    <w:name w:val="annotation subject"/>
    <w:basedOn w:val="CommentText"/>
    <w:next w:val="CommentText"/>
    <w:link w:val="CommentSubjectChar"/>
    <w:rsid w:val="00370F84"/>
    <w:rPr>
      <w:b/>
      <w:bCs/>
    </w:rPr>
  </w:style>
  <w:style w:type="character" w:customStyle="1" w:styleId="CommentSubjectChar">
    <w:name w:val="Comment Subject Char"/>
    <w:basedOn w:val="CommentTextChar"/>
    <w:link w:val="CommentSubject"/>
    <w:rsid w:val="00370F84"/>
    <w:rPr>
      <w:rFonts w:ascii="Arial" w:hAnsi="Arial"/>
      <w:b/>
      <w:bCs/>
      <w:lang w:eastAsia="en-US"/>
    </w:rPr>
  </w:style>
  <w:style w:type="character" w:styleId="UnresolvedMention">
    <w:name w:val="Unresolved Mention"/>
    <w:basedOn w:val="DefaultParagraphFont"/>
    <w:uiPriority w:val="99"/>
    <w:semiHidden/>
    <w:unhideWhenUsed/>
    <w:rsid w:val="001578B8"/>
    <w:rPr>
      <w:color w:val="605E5C"/>
      <w:shd w:val="clear" w:color="auto" w:fill="E1DFDD"/>
    </w:rPr>
  </w:style>
  <w:style w:type="character" w:styleId="Emphasis">
    <w:name w:val="Emphasis"/>
    <w:basedOn w:val="DefaultParagraphFont"/>
    <w:uiPriority w:val="20"/>
    <w:qFormat/>
    <w:rsid w:val="00466DAD"/>
    <w:rPr>
      <w:i/>
      <w:iCs/>
    </w:rPr>
  </w:style>
  <w:style w:type="paragraph" w:customStyle="1" w:styleId="long-read-navigationin-page-item">
    <w:name w:val="long-read-navigation__in-page-item"/>
    <w:basedOn w:val="Normal"/>
    <w:rsid w:val="00A754B0"/>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505">
      <w:bodyDiv w:val="1"/>
      <w:marLeft w:val="0"/>
      <w:marRight w:val="0"/>
      <w:marTop w:val="0"/>
      <w:marBottom w:val="0"/>
      <w:divBdr>
        <w:top w:val="none" w:sz="0" w:space="0" w:color="auto"/>
        <w:left w:val="none" w:sz="0" w:space="0" w:color="auto"/>
        <w:bottom w:val="none" w:sz="0" w:space="0" w:color="auto"/>
        <w:right w:val="none" w:sz="0" w:space="0" w:color="auto"/>
      </w:divBdr>
    </w:div>
    <w:div w:id="28338154">
      <w:bodyDiv w:val="1"/>
      <w:marLeft w:val="0"/>
      <w:marRight w:val="0"/>
      <w:marTop w:val="0"/>
      <w:marBottom w:val="0"/>
      <w:divBdr>
        <w:top w:val="none" w:sz="0" w:space="0" w:color="auto"/>
        <w:left w:val="none" w:sz="0" w:space="0" w:color="auto"/>
        <w:bottom w:val="none" w:sz="0" w:space="0" w:color="auto"/>
        <w:right w:val="none" w:sz="0" w:space="0" w:color="auto"/>
      </w:divBdr>
    </w:div>
    <w:div w:id="39983994">
      <w:bodyDiv w:val="1"/>
      <w:marLeft w:val="0"/>
      <w:marRight w:val="0"/>
      <w:marTop w:val="0"/>
      <w:marBottom w:val="0"/>
      <w:divBdr>
        <w:top w:val="none" w:sz="0" w:space="0" w:color="auto"/>
        <w:left w:val="none" w:sz="0" w:space="0" w:color="auto"/>
        <w:bottom w:val="none" w:sz="0" w:space="0" w:color="auto"/>
        <w:right w:val="none" w:sz="0" w:space="0" w:color="auto"/>
      </w:divBdr>
    </w:div>
    <w:div w:id="46998888">
      <w:bodyDiv w:val="1"/>
      <w:marLeft w:val="0"/>
      <w:marRight w:val="0"/>
      <w:marTop w:val="0"/>
      <w:marBottom w:val="0"/>
      <w:divBdr>
        <w:top w:val="none" w:sz="0" w:space="0" w:color="auto"/>
        <w:left w:val="none" w:sz="0" w:space="0" w:color="auto"/>
        <w:bottom w:val="none" w:sz="0" w:space="0" w:color="auto"/>
        <w:right w:val="none" w:sz="0" w:space="0" w:color="auto"/>
      </w:divBdr>
    </w:div>
    <w:div w:id="61872649">
      <w:bodyDiv w:val="1"/>
      <w:marLeft w:val="0"/>
      <w:marRight w:val="0"/>
      <w:marTop w:val="0"/>
      <w:marBottom w:val="0"/>
      <w:divBdr>
        <w:top w:val="none" w:sz="0" w:space="0" w:color="auto"/>
        <w:left w:val="none" w:sz="0" w:space="0" w:color="auto"/>
        <w:bottom w:val="none" w:sz="0" w:space="0" w:color="auto"/>
        <w:right w:val="none" w:sz="0" w:space="0" w:color="auto"/>
      </w:divBdr>
    </w:div>
    <w:div w:id="98259541">
      <w:bodyDiv w:val="1"/>
      <w:marLeft w:val="0"/>
      <w:marRight w:val="0"/>
      <w:marTop w:val="0"/>
      <w:marBottom w:val="0"/>
      <w:divBdr>
        <w:top w:val="none" w:sz="0" w:space="0" w:color="auto"/>
        <w:left w:val="none" w:sz="0" w:space="0" w:color="auto"/>
        <w:bottom w:val="none" w:sz="0" w:space="0" w:color="auto"/>
        <w:right w:val="none" w:sz="0" w:space="0" w:color="auto"/>
      </w:divBdr>
    </w:div>
    <w:div w:id="122433600">
      <w:bodyDiv w:val="1"/>
      <w:marLeft w:val="0"/>
      <w:marRight w:val="0"/>
      <w:marTop w:val="0"/>
      <w:marBottom w:val="0"/>
      <w:divBdr>
        <w:top w:val="none" w:sz="0" w:space="0" w:color="auto"/>
        <w:left w:val="none" w:sz="0" w:space="0" w:color="auto"/>
        <w:bottom w:val="none" w:sz="0" w:space="0" w:color="auto"/>
        <w:right w:val="none" w:sz="0" w:space="0" w:color="auto"/>
      </w:divBdr>
    </w:div>
    <w:div w:id="123890444">
      <w:bodyDiv w:val="1"/>
      <w:marLeft w:val="0"/>
      <w:marRight w:val="0"/>
      <w:marTop w:val="0"/>
      <w:marBottom w:val="0"/>
      <w:divBdr>
        <w:top w:val="none" w:sz="0" w:space="0" w:color="auto"/>
        <w:left w:val="none" w:sz="0" w:space="0" w:color="auto"/>
        <w:bottom w:val="none" w:sz="0" w:space="0" w:color="auto"/>
        <w:right w:val="none" w:sz="0" w:space="0" w:color="auto"/>
      </w:divBdr>
    </w:div>
    <w:div w:id="151873773">
      <w:bodyDiv w:val="1"/>
      <w:marLeft w:val="0"/>
      <w:marRight w:val="0"/>
      <w:marTop w:val="0"/>
      <w:marBottom w:val="0"/>
      <w:divBdr>
        <w:top w:val="none" w:sz="0" w:space="0" w:color="auto"/>
        <w:left w:val="none" w:sz="0" w:space="0" w:color="auto"/>
        <w:bottom w:val="none" w:sz="0" w:space="0" w:color="auto"/>
        <w:right w:val="none" w:sz="0" w:space="0" w:color="auto"/>
      </w:divBdr>
    </w:div>
    <w:div w:id="161047415">
      <w:bodyDiv w:val="1"/>
      <w:marLeft w:val="0"/>
      <w:marRight w:val="0"/>
      <w:marTop w:val="0"/>
      <w:marBottom w:val="0"/>
      <w:divBdr>
        <w:top w:val="none" w:sz="0" w:space="0" w:color="auto"/>
        <w:left w:val="none" w:sz="0" w:space="0" w:color="auto"/>
        <w:bottom w:val="none" w:sz="0" w:space="0" w:color="auto"/>
        <w:right w:val="none" w:sz="0" w:space="0" w:color="auto"/>
      </w:divBdr>
    </w:div>
    <w:div w:id="181167940">
      <w:bodyDiv w:val="1"/>
      <w:marLeft w:val="0"/>
      <w:marRight w:val="0"/>
      <w:marTop w:val="0"/>
      <w:marBottom w:val="0"/>
      <w:divBdr>
        <w:top w:val="none" w:sz="0" w:space="0" w:color="auto"/>
        <w:left w:val="none" w:sz="0" w:space="0" w:color="auto"/>
        <w:bottom w:val="none" w:sz="0" w:space="0" w:color="auto"/>
        <w:right w:val="none" w:sz="0" w:space="0" w:color="auto"/>
      </w:divBdr>
    </w:div>
    <w:div w:id="235558861">
      <w:bodyDiv w:val="1"/>
      <w:marLeft w:val="0"/>
      <w:marRight w:val="0"/>
      <w:marTop w:val="0"/>
      <w:marBottom w:val="0"/>
      <w:divBdr>
        <w:top w:val="none" w:sz="0" w:space="0" w:color="auto"/>
        <w:left w:val="none" w:sz="0" w:space="0" w:color="auto"/>
        <w:bottom w:val="none" w:sz="0" w:space="0" w:color="auto"/>
        <w:right w:val="none" w:sz="0" w:space="0" w:color="auto"/>
      </w:divBdr>
    </w:div>
    <w:div w:id="277496125">
      <w:bodyDiv w:val="1"/>
      <w:marLeft w:val="0"/>
      <w:marRight w:val="0"/>
      <w:marTop w:val="0"/>
      <w:marBottom w:val="0"/>
      <w:divBdr>
        <w:top w:val="none" w:sz="0" w:space="0" w:color="auto"/>
        <w:left w:val="none" w:sz="0" w:space="0" w:color="auto"/>
        <w:bottom w:val="none" w:sz="0" w:space="0" w:color="auto"/>
        <w:right w:val="none" w:sz="0" w:space="0" w:color="auto"/>
      </w:divBdr>
    </w:div>
    <w:div w:id="280571840">
      <w:bodyDiv w:val="1"/>
      <w:marLeft w:val="0"/>
      <w:marRight w:val="0"/>
      <w:marTop w:val="0"/>
      <w:marBottom w:val="0"/>
      <w:divBdr>
        <w:top w:val="none" w:sz="0" w:space="0" w:color="auto"/>
        <w:left w:val="none" w:sz="0" w:space="0" w:color="auto"/>
        <w:bottom w:val="none" w:sz="0" w:space="0" w:color="auto"/>
        <w:right w:val="none" w:sz="0" w:space="0" w:color="auto"/>
      </w:divBdr>
    </w:div>
    <w:div w:id="295987788">
      <w:bodyDiv w:val="1"/>
      <w:marLeft w:val="0"/>
      <w:marRight w:val="0"/>
      <w:marTop w:val="0"/>
      <w:marBottom w:val="0"/>
      <w:divBdr>
        <w:top w:val="none" w:sz="0" w:space="0" w:color="auto"/>
        <w:left w:val="none" w:sz="0" w:space="0" w:color="auto"/>
        <w:bottom w:val="none" w:sz="0" w:space="0" w:color="auto"/>
        <w:right w:val="none" w:sz="0" w:space="0" w:color="auto"/>
      </w:divBdr>
    </w:div>
    <w:div w:id="310911929">
      <w:bodyDiv w:val="1"/>
      <w:marLeft w:val="0"/>
      <w:marRight w:val="0"/>
      <w:marTop w:val="0"/>
      <w:marBottom w:val="0"/>
      <w:divBdr>
        <w:top w:val="none" w:sz="0" w:space="0" w:color="auto"/>
        <w:left w:val="none" w:sz="0" w:space="0" w:color="auto"/>
        <w:bottom w:val="none" w:sz="0" w:space="0" w:color="auto"/>
        <w:right w:val="none" w:sz="0" w:space="0" w:color="auto"/>
      </w:divBdr>
    </w:div>
    <w:div w:id="337463019">
      <w:bodyDiv w:val="1"/>
      <w:marLeft w:val="0"/>
      <w:marRight w:val="0"/>
      <w:marTop w:val="0"/>
      <w:marBottom w:val="0"/>
      <w:divBdr>
        <w:top w:val="none" w:sz="0" w:space="0" w:color="auto"/>
        <w:left w:val="none" w:sz="0" w:space="0" w:color="auto"/>
        <w:bottom w:val="none" w:sz="0" w:space="0" w:color="auto"/>
        <w:right w:val="none" w:sz="0" w:space="0" w:color="auto"/>
      </w:divBdr>
    </w:div>
    <w:div w:id="343829385">
      <w:bodyDiv w:val="1"/>
      <w:marLeft w:val="0"/>
      <w:marRight w:val="0"/>
      <w:marTop w:val="0"/>
      <w:marBottom w:val="0"/>
      <w:divBdr>
        <w:top w:val="none" w:sz="0" w:space="0" w:color="auto"/>
        <w:left w:val="none" w:sz="0" w:space="0" w:color="auto"/>
        <w:bottom w:val="none" w:sz="0" w:space="0" w:color="auto"/>
        <w:right w:val="none" w:sz="0" w:space="0" w:color="auto"/>
      </w:divBdr>
    </w:div>
    <w:div w:id="368728087">
      <w:bodyDiv w:val="1"/>
      <w:marLeft w:val="0"/>
      <w:marRight w:val="0"/>
      <w:marTop w:val="0"/>
      <w:marBottom w:val="0"/>
      <w:divBdr>
        <w:top w:val="none" w:sz="0" w:space="0" w:color="auto"/>
        <w:left w:val="none" w:sz="0" w:space="0" w:color="auto"/>
        <w:bottom w:val="none" w:sz="0" w:space="0" w:color="auto"/>
        <w:right w:val="none" w:sz="0" w:space="0" w:color="auto"/>
      </w:divBdr>
    </w:div>
    <w:div w:id="375349074">
      <w:bodyDiv w:val="1"/>
      <w:marLeft w:val="0"/>
      <w:marRight w:val="0"/>
      <w:marTop w:val="0"/>
      <w:marBottom w:val="0"/>
      <w:divBdr>
        <w:top w:val="none" w:sz="0" w:space="0" w:color="auto"/>
        <w:left w:val="none" w:sz="0" w:space="0" w:color="auto"/>
        <w:bottom w:val="none" w:sz="0" w:space="0" w:color="auto"/>
        <w:right w:val="none" w:sz="0" w:space="0" w:color="auto"/>
      </w:divBdr>
    </w:div>
    <w:div w:id="389379736">
      <w:bodyDiv w:val="1"/>
      <w:marLeft w:val="0"/>
      <w:marRight w:val="0"/>
      <w:marTop w:val="0"/>
      <w:marBottom w:val="0"/>
      <w:divBdr>
        <w:top w:val="none" w:sz="0" w:space="0" w:color="auto"/>
        <w:left w:val="none" w:sz="0" w:space="0" w:color="auto"/>
        <w:bottom w:val="none" w:sz="0" w:space="0" w:color="auto"/>
        <w:right w:val="none" w:sz="0" w:space="0" w:color="auto"/>
      </w:divBdr>
    </w:div>
    <w:div w:id="450445035">
      <w:bodyDiv w:val="1"/>
      <w:marLeft w:val="0"/>
      <w:marRight w:val="0"/>
      <w:marTop w:val="0"/>
      <w:marBottom w:val="0"/>
      <w:divBdr>
        <w:top w:val="none" w:sz="0" w:space="0" w:color="auto"/>
        <w:left w:val="none" w:sz="0" w:space="0" w:color="auto"/>
        <w:bottom w:val="none" w:sz="0" w:space="0" w:color="auto"/>
        <w:right w:val="none" w:sz="0" w:space="0" w:color="auto"/>
      </w:divBdr>
    </w:div>
    <w:div w:id="470367030">
      <w:bodyDiv w:val="1"/>
      <w:marLeft w:val="0"/>
      <w:marRight w:val="0"/>
      <w:marTop w:val="0"/>
      <w:marBottom w:val="0"/>
      <w:divBdr>
        <w:top w:val="none" w:sz="0" w:space="0" w:color="auto"/>
        <w:left w:val="none" w:sz="0" w:space="0" w:color="auto"/>
        <w:bottom w:val="none" w:sz="0" w:space="0" w:color="auto"/>
        <w:right w:val="none" w:sz="0" w:space="0" w:color="auto"/>
      </w:divBdr>
    </w:div>
    <w:div w:id="474563499">
      <w:bodyDiv w:val="1"/>
      <w:marLeft w:val="0"/>
      <w:marRight w:val="0"/>
      <w:marTop w:val="0"/>
      <w:marBottom w:val="0"/>
      <w:divBdr>
        <w:top w:val="none" w:sz="0" w:space="0" w:color="auto"/>
        <w:left w:val="none" w:sz="0" w:space="0" w:color="auto"/>
        <w:bottom w:val="none" w:sz="0" w:space="0" w:color="auto"/>
        <w:right w:val="none" w:sz="0" w:space="0" w:color="auto"/>
      </w:divBdr>
    </w:div>
    <w:div w:id="514613374">
      <w:bodyDiv w:val="1"/>
      <w:marLeft w:val="0"/>
      <w:marRight w:val="0"/>
      <w:marTop w:val="0"/>
      <w:marBottom w:val="0"/>
      <w:divBdr>
        <w:top w:val="none" w:sz="0" w:space="0" w:color="auto"/>
        <w:left w:val="none" w:sz="0" w:space="0" w:color="auto"/>
        <w:bottom w:val="none" w:sz="0" w:space="0" w:color="auto"/>
        <w:right w:val="none" w:sz="0" w:space="0" w:color="auto"/>
      </w:divBdr>
    </w:div>
    <w:div w:id="531118301">
      <w:bodyDiv w:val="1"/>
      <w:marLeft w:val="0"/>
      <w:marRight w:val="0"/>
      <w:marTop w:val="0"/>
      <w:marBottom w:val="0"/>
      <w:divBdr>
        <w:top w:val="none" w:sz="0" w:space="0" w:color="auto"/>
        <w:left w:val="none" w:sz="0" w:space="0" w:color="auto"/>
        <w:bottom w:val="none" w:sz="0" w:space="0" w:color="auto"/>
        <w:right w:val="none" w:sz="0" w:space="0" w:color="auto"/>
      </w:divBdr>
    </w:div>
    <w:div w:id="570580506">
      <w:bodyDiv w:val="1"/>
      <w:marLeft w:val="0"/>
      <w:marRight w:val="0"/>
      <w:marTop w:val="0"/>
      <w:marBottom w:val="0"/>
      <w:divBdr>
        <w:top w:val="none" w:sz="0" w:space="0" w:color="auto"/>
        <w:left w:val="none" w:sz="0" w:space="0" w:color="auto"/>
        <w:bottom w:val="none" w:sz="0" w:space="0" w:color="auto"/>
        <w:right w:val="none" w:sz="0" w:space="0" w:color="auto"/>
      </w:divBdr>
    </w:div>
    <w:div w:id="586693360">
      <w:bodyDiv w:val="1"/>
      <w:marLeft w:val="0"/>
      <w:marRight w:val="0"/>
      <w:marTop w:val="0"/>
      <w:marBottom w:val="0"/>
      <w:divBdr>
        <w:top w:val="none" w:sz="0" w:space="0" w:color="auto"/>
        <w:left w:val="none" w:sz="0" w:space="0" w:color="auto"/>
        <w:bottom w:val="none" w:sz="0" w:space="0" w:color="auto"/>
        <w:right w:val="none" w:sz="0" w:space="0" w:color="auto"/>
      </w:divBdr>
    </w:div>
    <w:div w:id="616371135">
      <w:bodyDiv w:val="1"/>
      <w:marLeft w:val="0"/>
      <w:marRight w:val="0"/>
      <w:marTop w:val="0"/>
      <w:marBottom w:val="0"/>
      <w:divBdr>
        <w:top w:val="none" w:sz="0" w:space="0" w:color="auto"/>
        <w:left w:val="none" w:sz="0" w:space="0" w:color="auto"/>
        <w:bottom w:val="none" w:sz="0" w:space="0" w:color="auto"/>
        <w:right w:val="none" w:sz="0" w:space="0" w:color="auto"/>
      </w:divBdr>
    </w:div>
    <w:div w:id="620501022">
      <w:bodyDiv w:val="1"/>
      <w:marLeft w:val="0"/>
      <w:marRight w:val="0"/>
      <w:marTop w:val="0"/>
      <w:marBottom w:val="0"/>
      <w:divBdr>
        <w:top w:val="none" w:sz="0" w:space="0" w:color="auto"/>
        <w:left w:val="none" w:sz="0" w:space="0" w:color="auto"/>
        <w:bottom w:val="none" w:sz="0" w:space="0" w:color="auto"/>
        <w:right w:val="none" w:sz="0" w:space="0" w:color="auto"/>
      </w:divBdr>
    </w:div>
    <w:div w:id="642545547">
      <w:bodyDiv w:val="1"/>
      <w:marLeft w:val="0"/>
      <w:marRight w:val="0"/>
      <w:marTop w:val="0"/>
      <w:marBottom w:val="0"/>
      <w:divBdr>
        <w:top w:val="none" w:sz="0" w:space="0" w:color="auto"/>
        <w:left w:val="none" w:sz="0" w:space="0" w:color="auto"/>
        <w:bottom w:val="none" w:sz="0" w:space="0" w:color="auto"/>
        <w:right w:val="none" w:sz="0" w:space="0" w:color="auto"/>
      </w:divBdr>
    </w:div>
    <w:div w:id="673268923">
      <w:bodyDiv w:val="1"/>
      <w:marLeft w:val="0"/>
      <w:marRight w:val="0"/>
      <w:marTop w:val="0"/>
      <w:marBottom w:val="0"/>
      <w:divBdr>
        <w:top w:val="none" w:sz="0" w:space="0" w:color="auto"/>
        <w:left w:val="none" w:sz="0" w:space="0" w:color="auto"/>
        <w:bottom w:val="none" w:sz="0" w:space="0" w:color="auto"/>
        <w:right w:val="none" w:sz="0" w:space="0" w:color="auto"/>
      </w:divBdr>
    </w:div>
    <w:div w:id="726807508">
      <w:bodyDiv w:val="1"/>
      <w:marLeft w:val="0"/>
      <w:marRight w:val="0"/>
      <w:marTop w:val="0"/>
      <w:marBottom w:val="0"/>
      <w:divBdr>
        <w:top w:val="none" w:sz="0" w:space="0" w:color="auto"/>
        <w:left w:val="none" w:sz="0" w:space="0" w:color="auto"/>
        <w:bottom w:val="none" w:sz="0" w:space="0" w:color="auto"/>
        <w:right w:val="none" w:sz="0" w:space="0" w:color="auto"/>
      </w:divBdr>
    </w:div>
    <w:div w:id="768506977">
      <w:bodyDiv w:val="1"/>
      <w:marLeft w:val="0"/>
      <w:marRight w:val="0"/>
      <w:marTop w:val="0"/>
      <w:marBottom w:val="0"/>
      <w:divBdr>
        <w:top w:val="none" w:sz="0" w:space="0" w:color="auto"/>
        <w:left w:val="none" w:sz="0" w:space="0" w:color="auto"/>
        <w:bottom w:val="none" w:sz="0" w:space="0" w:color="auto"/>
        <w:right w:val="none" w:sz="0" w:space="0" w:color="auto"/>
      </w:divBdr>
    </w:div>
    <w:div w:id="771122436">
      <w:bodyDiv w:val="1"/>
      <w:marLeft w:val="0"/>
      <w:marRight w:val="0"/>
      <w:marTop w:val="0"/>
      <w:marBottom w:val="0"/>
      <w:divBdr>
        <w:top w:val="none" w:sz="0" w:space="0" w:color="auto"/>
        <w:left w:val="none" w:sz="0" w:space="0" w:color="auto"/>
        <w:bottom w:val="none" w:sz="0" w:space="0" w:color="auto"/>
        <w:right w:val="none" w:sz="0" w:space="0" w:color="auto"/>
      </w:divBdr>
    </w:div>
    <w:div w:id="803347941">
      <w:bodyDiv w:val="1"/>
      <w:marLeft w:val="0"/>
      <w:marRight w:val="0"/>
      <w:marTop w:val="0"/>
      <w:marBottom w:val="0"/>
      <w:divBdr>
        <w:top w:val="none" w:sz="0" w:space="0" w:color="auto"/>
        <w:left w:val="none" w:sz="0" w:space="0" w:color="auto"/>
        <w:bottom w:val="none" w:sz="0" w:space="0" w:color="auto"/>
        <w:right w:val="none" w:sz="0" w:space="0" w:color="auto"/>
      </w:divBdr>
    </w:div>
    <w:div w:id="803697797">
      <w:bodyDiv w:val="1"/>
      <w:marLeft w:val="0"/>
      <w:marRight w:val="0"/>
      <w:marTop w:val="0"/>
      <w:marBottom w:val="0"/>
      <w:divBdr>
        <w:top w:val="none" w:sz="0" w:space="0" w:color="auto"/>
        <w:left w:val="none" w:sz="0" w:space="0" w:color="auto"/>
        <w:bottom w:val="none" w:sz="0" w:space="0" w:color="auto"/>
        <w:right w:val="none" w:sz="0" w:space="0" w:color="auto"/>
      </w:divBdr>
    </w:div>
    <w:div w:id="950629253">
      <w:bodyDiv w:val="1"/>
      <w:marLeft w:val="0"/>
      <w:marRight w:val="0"/>
      <w:marTop w:val="0"/>
      <w:marBottom w:val="0"/>
      <w:divBdr>
        <w:top w:val="none" w:sz="0" w:space="0" w:color="auto"/>
        <w:left w:val="none" w:sz="0" w:space="0" w:color="auto"/>
        <w:bottom w:val="none" w:sz="0" w:space="0" w:color="auto"/>
        <w:right w:val="none" w:sz="0" w:space="0" w:color="auto"/>
      </w:divBdr>
    </w:div>
    <w:div w:id="989751765">
      <w:bodyDiv w:val="1"/>
      <w:marLeft w:val="0"/>
      <w:marRight w:val="0"/>
      <w:marTop w:val="0"/>
      <w:marBottom w:val="0"/>
      <w:divBdr>
        <w:top w:val="none" w:sz="0" w:space="0" w:color="auto"/>
        <w:left w:val="none" w:sz="0" w:space="0" w:color="auto"/>
        <w:bottom w:val="none" w:sz="0" w:space="0" w:color="auto"/>
        <w:right w:val="none" w:sz="0" w:space="0" w:color="auto"/>
      </w:divBdr>
    </w:div>
    <w:div w:id="1015691379">
      <w:bodyDiv w:val="1"/>
      <w:marLeft w:val="0"/>
      <w:marRight w:val="0"/>
      <w:marTop w:val="0"/>
      <w:marBottom w:val="0"/>
      <w:divBdr>
        <w:top w:val="none" w:sz="0" w:space="0" w:color="auto"/>
        <w:left w:val="none" w:sz="0" w:space="0" w:color="auto"/>
        <w:bottom w:val="none" w:sz="0" w:space="0" w:color="auto"/>
        <w:right w:val="none" w:sz="0" w:space="0" w:color="auto"/>
      </w:divBdr>
    </w:div>
    <w:div w:id="1141768641">
      <w:bodyDiv w:val="1"/>
      <w:marLeft w:val="0"/>
      <w:marRight w:val="0"/>
      <w:marTop w:val="0"/>
      <w:marBottom w:val="0"/>
      <w:divBdr>
        <w:top w:val="none" w:sz="0" w:space="0" w:color="auto"/>
        <w:left w:val="none" w:sz="0" w:space="0" w:color="auto"/>
        <w:bottom w:val="none" w:sz="0" w:space="0" w:color="auto"/>
        <w:right w:val="none" w:sz="0" w:space="0" w:color="auto"/>
      </w:divBdr>
    </w:div>
    <w:div w:id="1175002368">
      <w:bodyDiv w:val="1"/>
      <w:marLeft w:val="0"/>
      <w:marRight w:val="0"/>
      <w:marTop w:val="0"/>
      <w:marBottom w:val="0"/>
      <w:divBdr>
        <w:top w:val="none" w:sz="0" w:space="0" w:color="auto"/>
        <w:left w:val="none" w:sz="0" w:space="0" w:color="auto"/>
        <w:bottom w:val="none" w:sz="0" w:space="0" w:color="auto"/>
        <w:right w:val="none" w:sz="0" w:space="0" w:color="auto"/>
      </w:divBdr>
    </w:div>
    <w:div w:id="1202018739">
      <w:bodyDiv w:val="1"/>
      <w:marLeft w:val="0"/>
      <w:marRight w:val="0"/>
      <w:marTop w:val="0"/>
      <w:marBottom w:val="0"/>
      <w:divBdr>
        <w:top w:val="none" w:sz="0" w:space="0" w:color="auto"/>
        <w:left w:val="none" w:sz="0" w:space="0" w:color="auto"/>
        <w:bottom w:val="none" w:sz="0" w:space="0" w:color="auto"/>
        <w:right w:val="none" w:sz="0" w:space="0" w:color="auto"/>
      </w:divBdr>
    </w:div>
    <w:div w:id="1232888658">
      <w:bodyDiv w:val="1"/>
      <w:marLeft w:val="0"/>
      <w:marRight w:val="0"/>
      <w:marTop w:val="0"/>
      <w:marBottom w:val="0"/>
      <w:divBdr>
        <w:top w:val="none" w:sz="0" w:space="0" w:color="auto"/>
        <w:left w:val="none" w:sz="0" w:space="0" w:color="auto"/>
        <w:bottom w:val="none" w:sz="0" w:space="0" w:color="auto"/>
        <w:right w:val="none" w:sz="0" w:space="0" w:color="auto"/>
      </w:divBdr>
    </w:div>
    <w:div w:id="1282683861">
      <w:bodyDiv w:val="1"/>
      <w:marLeft w:val="0"/>
      <w:marRight w:val="0"/>
      <w:marTop w:val="0"/>
      <w:marBottom w:val="0"/>
      <w:divBdr>
        <w:top w:val="none" w:sz="0" w:space="0" w:color="auto"/>
        <w:left w:val="none" w:sz="0" w:space="0" w:color="auto"/>
        <w:bottom w:val="none" w:sz="0" w:space="0" w:color="auto"/>
        <w:right w:val="none" w:sz="0" w:space="0" w:color="auto"/>
      </w:divBdr>
    </w:div>
    <w:div w:id="1343778626">
      <w:bodyDiv w:val="1"/>
      <w:marLeft w:val="0"/>
      <w:marRight w:val="0"/>
      <w:marTop w:val="0"/>
      <w:marBottom w:val="0"/>
      <w:divBdr>
        <w:top w:val="none" w:sz="0" w:space="0" w:color="auto"/>
        <w:left w:val="none" w:sz="0" w:space="0" w:color="auto"/>
        <w:bottom w:val="none" w:sz="0" w:space="0" w:color="auto"/>
        <w:right w:val="none" w:sz="0" w:space="0" w:color="auto"/>
      </w:divBdr>
    </w:div>
    <w:div w:id="1367752118">
      <w:bodyDiv w:val="1"/>
      <w:marLeft w:val="0"/>
      <w:marRight w:val="0"/>
      <w:marTop w:val="0"/>
      <w:marBottom w:val="0"/>
      <w:divBdr>
        <w:top w:val="none" w:sz="0" w:space="0" w:color="auto"/>
        <w:left w:val="none" w:sz="0" w:space="0" w:color="auto"/>
        <w:bottom w:val="none" w:sz="0" w:space="0" w:color="auto"/>
        <w:right w:val="none" w:sz="0" w:space="0" w:color="auto"/>
      </w:divBdr>
    </w:div>
    <w:div w:id="1380089161">
      <w:bodyDiv w:val="1"/>
      <w:marLeft w:val="0"/>
      <w:marRight w:val="0"/>
      <w:marTop w:val="0"/>
      <w:marBottom w:val="0"/>
      <w:divBdr>
        <w:top w:val="none" w:sz="0" w:space="0" w:color="auto"/>
        <w:left w:val="none" w:sz="0" w:space="0" w:color="auto"/>
        <w:bottom w:val="none" w:sz="0" w:space="0" w:color="auto"/>
        <w:right w:val="none" w:sz="0" w:space="0" w:color="auto"/>
      </w:divBdr>
    </w:div>
    <w:div w:id="1383410722">
      <w:bodyDiv w:val="1"/>
      <w:marLeft w:val="0"/>
      <w:marRight w:val="0"/>
      <w:marTop w:val="0"/>
      <w:marBottom w:val="0"/>
      <w:divBdr>
        <w:top w:val="none" w:sz="0" w:space="0" w:color="auto"/>
        <w:left w:val="none" w:sz="0" w:space="0" w:color="auto"/>
        <w:bottom w:val="none" w:sz="0" w:space="0" w:color="auto"/>
        <w:right w:val="none" w:sz="0" w:space="0" w:color="auto"/>
      </w:divBdr>
    </w:div>
    <w:div w:id="1406223652">
      <w:bodyDiv w:val="1"/>
      <w:marLeft w:val="0"/>
      <w:marRight w:val="0"/>
      <w:marTop w:val="0"/>
      <w:marBottom w:val="0"/>
      <w:divBdr>
        <w:top w:val="none" w:sz="0" w:space="0" w:color="auto"/>
        <w:left w:val="none" w:sz="0" w:space="0" w:color="auto"/>
        <w:bottom w:val="none" w:sz="0" w:space="0" w:color="auto"/>
        <w:right w:val="none" w:sz="0" w:space="0" w:color="auto"/>
      </w:divBdr>
    </w:div>
    <w:div w:id="1482769796">
      <w:bodyDiv w:val="1"/>
      <w:marLeft w:val="0"/>
      <w:marRight w:val="0"/>
      <w:marTop w:val="0"/>
      <w:marBottom w:val="0"/>
      <w:divBdr>
        <w:top w:val="none" w:sz="0" w:space="0" w:color="auto"/>
        <w:left w:val="none" w:sz="0" w:space="0" w:color="auto"/>
        <w:bottom w:val="none" w:sz="0" w:space="0" w:color="auto"/>
        <w:right w:val="none" w:sz="0" w:space="0" w:color="auto"/>
      </w:divBdr>
    </w:div>
    <w:div w:id="1495099284">
      <w:bodyDiv w:val="1"/>
      <w:marLeft w:val="0"/>
      <w:marRight w:val="0"/>
      <w:marTop w:val="0"/>
      <w:marBottom w:val="0"/>
      <w:divBdr>
        <w:top w:val="none" w:sz="0" w:space="0" w:color="auto"/>
        <w:left w:val="none" w:sz="0" w:space="0" w:color="auto"/>
        <w:bottom w:val="none" w:sz="0" w:space="0" w:color="auto"/>
        <w:right w:val="none" w:sz="0" w:space="0" w:color="auto"/>
      </w:divBdr>
    </w:div>
    <w:div w:id="1498303956">
      <w:bodyDiv w:val="1"/>
      <w:marLeft w:val="0"/>
      <w:marRight w:val="0"/>
      <w:marTop w:val="0"/>
      <w:marBottom w:val="0"/>
      <w:divBdr>
        <w:top w:val="none" w:sz="0" w:space="0" w:color="auto"/>
        <w:left w:val="none" w:sz="0" w:space="0" w:color="auto"/>
        <w:bottom w:val="none" w:sz="0" w:space="0" w:color="auto"/>
        <w:right w:val="none" w:sz="0" w:space="0" w:color="auto"/>
      </w:divBdr>
    </w:div>
    <w:div w:id="1506749099">
      <w:bodyDiv w:val="1"/>
      <w:marLeft w:val="0"/>
      <w:marRight w:val="0"/>
      <w:marTop w:val="0"/>
      <w:marBottom w:val="0"/>
      <w:divBdr>
        <w:top w:val="none" w:sz="0" w:space="0" w:color="auto"/>
        <w:left w:val="none" w:sz="0" w:space="0" w:color="auto"/>
        <w:bottom w:val="none" w:sz="0" w:space="0" w:color="auto"/>
        <w:right w:val="none" w:sz="0" w:space="0" w:color="auto"/>
      </w:divBdr>
    </w:div>
    <w:div w:id="1519344924">
      <w:bodyDiv w:val="1"/>
      <w:marLeft w:val="0"/>
      <w:marRight w:val="0"/>
      <w:marTop w:val="0"/>
      <w:marBottom w:val="0"/>
      <w:divBdr>
        <w:top w:val="none" w:sz="0" w:space="0" w:color="auto"/>
        <w:left w:val="none" w:sz="0" w:space="0" w:color="auto"/>
        <w:bottom w:val="none" w:sz="0" w:space="0" w:color="auto"/>
        <w:right w:val="none" w:sz="0" w:space="0" w:color="auto"/>
      </w:divBdr>
    </w:div>
    <w:div w:id="1524593511">
      <w:bodyDiv w:val="1"/>
      <w:marLeft w:val="0"/>
      <w:marRight w:val="0"/>
      <w:marTop w:val="0"/>
      <w:marBottom w:val="0"/>
      <w:divBdr>
        <w:top w:val="none" w:sz="0" w:space="0" w:color="auto"/>
        <w:left w:val="none" w:sz="0" w:space="0" w:color="auto"/>
        <w:bottom w:val="none" w:sz="0" w:space="0" w:color="auto"/>
        <w:right w:val="none" w:sz="0" w:space="0" w:color="auto"/>
      </w:divBdr>
    </w:div>
    <w:div w:id="1566914560">
      <w:bodyDiv w:val="1"/>
      <w:marLeft w:val="0"/>
      <w:marRight w:val="0"/>
      <w:marTop w:val="0"/>
      <w:marBottom w:val="0"/>
      <w:divBdr>
        <w:top w:val="none" w:sz="0" w:space="0" w:color="auto"/>
        <w:left w:val="none" w:sz="0" w:space="0" w:color="auto"/>
        <w:bottom w:val="none" w:sz="0" w:space="0" w:color="auto"/>
        <w:right w:val="none" w:sz="0" w:space="0" w:color="auto"/>
      </w:divBdr>
    </w:div>
    <w:div w:id="1567833903">
      <w:bodyDiv w:val="1"/>
      <w:marLeft w:val="0"/>
      <w:marRight w:val="0"/>
      <w:marTop w:val="0"/>
      <w:marBottom w:val="0"/>
      <w:divBdr>
        <w:top w:val="none" w:sz="0" w:space="0" w:color="auto"/>
        <w:left w:val="none" w:sz="0" w:space="0" w:color="auto"/>
        <w:bottom w:val="none" w:sz="0" w:space="0" w:color="auto"/>
        <w:right w:val="none" w:sz="0" w:space="0" w:color="auto"/>
      </w:divBdr>
    </w:div>
    <w:div w:id="1573082109">
      <w:bodyDiv w:val="1"/>
      <w:marLeft w:val="0"/>
      <w:marRight w:val="0"/>
      <w:marTop w:val="0"/>
      <w:marBottom w:val="0"/>
      <w:divBdr>
        <w:top w:val="none" w:sz="0" w:space="0" w:color="auto"/>
        <w:left w:val="none" w:sz="0" w:space="0" w:color="auto"/>
        <w:bottom w:val="none" w:sz="0" w:space="0" w:color="auto"/>
        <w:right w:val="none" w:sz="0" w:space="0" w:color="auto"/>
      </w:divBdr>
    </w:div>
    <w:div w:id="1780223638">
      <w:bodyDiv w:val="1"/>
      <w:marLeft w:val="0"/>
      <w:marRight w:val="0"/>
      <w:marTop w:val="0"/>
      <w:marBottom w:val="0"/>
      <w:divBdr>
        <w:top w:val="none" w:sz="0" w:space="0" w:color="auto"/>
        <w:left w:val="none" w:sz="0" w:space="0" w:color="auto"/>
        <w:bottom w:val="none" w:sz="0" w:space="0" w:color="auto"/>
        <w:right w:val="none" w:sz="0" w:space="0" w:color="auto"/>
      </w:divBdr>
    </w:div>
    <w:div w:id="1833644714">
      <w:bodyDiv w:val="1"/>
      <w:marLeft w:val="0"/>
      <w:marRight w:val="0"/>
      <w:marTop w:val="0"/>
      <w:marBottom w:val="0"/>
      <w:divBdr>
        <w:top w:val="none" w:sz="0" w:space="0" w:color="auto"/>
        <w:left w:val="none" w:sz="0" w:space="0" w:color="auto"/>
        <w:bottom w:val="none" w:sz="0" w:space="0" w:color="auto"/>
        <w:right w:val="none" w:sz="0" w:space="0" w:color="auto"/>
      </w:divBdr>
    </w:div>
    <w:div w:id="1840806942">
      <w:bodyDiv w:val="1"/>
      <w:marLeft w:val="0"/>
      <w:marRight w:val="0"/>
      <w:marTop w:val="0"/>
      <w:marBottom w:val="0"/>
      <w:divBdr>
        <w:top w:val="none" w:sz="0" w:space="0" w:color="auto"/>
        <w:left w:val="none" w:sz="0" w:space="0" w:color="auto"/>
        <w:bottom w:val="none" w:sz="0" w:space="0" w:color="auto"/>
        <w:right w:val="none" w:sz="0" w:space="0" w:color="auto"/>
      </w:divBdr>
    </w:div>
    <w:div w:id="1888565422">
      <w:bodyDiv w:val="1"/>
      <w:marLeft w:val="0"/>
      <w:marRight w:val="0"/>
      <w:marTop w:val="0"/>
      <w:marBottom w:val="0"/>
      <w:divBdr>
        <w:top w:val="none" w:sz="0" w:space="0" w:color="auto"/>
        <w:left w:val="none" w:sz="0" w:space="0" w:color="auto"/>
        <w:bottom w:val="none" w:sz="0" w:space="0" w:color="auto"/>
        <w:right w:val="none" w:sz="0" w:space="0" w:color="auto"/>
      </w:divBdr>
      <w:divsChild>
        <w:div w:id="1267347042">
          <w:marLeft w:val="0"/>
          <w:marRight w:val="0"/>
          <w:marTop w:val="0"/>
          <w:marBottom w:val="0"/>
          <w:divBdr>
            <w:top w:val="none" w:sz="0" w:space="0" w:color="auto"/>
            <w:left w:val="none" w:sz="0" w:space="0" w:color="auto"/>
            <w:bottom w:val="none" w:sz="0" w:space="0" w:color="auto"/>
            <w:right w:val="none" w:sz="0" w:space="0" w:color="auto"/>
          </w:divBdr>
          <w:divsChild>
            <w:div w:id="9471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08384">
      <w:bodyDiv w:val="1"/>
      <w:marLeft w:val="0"/>
      <w:marRight w:val="0"/>
      <w:marTop w:val="0"/>
      <w:marBottom w:val="0"/>
      <w:divBdr>
        <w:top w:val="none" w:sz="0" w:space="0" w:color="auto"/>
        <w:left w:val="none" w:sz="0" w:space="0" w:color="auto"/>
        <w:bottom w:val="none" w:sz="0" w:space="0" w:color="auto"/>
        <w:right w:val="none" w:sz="0" w:space="0" w:color="auto"/>
      </w:divBdr>
    </w:div>
    <w:div w:id="1980839032">
      <w:bodyDiv w:val="1"/>
      <w:marLeft w:val="0"/>
      <w:marRight w:val="0"/>
      <w:marTop w:val="0"/>
      <w:marBottom w:val="0"/>
      <w:divBdr>
        <w:top w:val="none" w:sz="0" w:space="0" w:color="auto"/>
        <w:left w:val="none" w:sz="0" w:space="0" w:color="auto"/>
        <w:bottom w:val="none" w:sz="0" w:space="0" w:color="auto"/>
        <w:right w:val="none" w:sz="0" w:space="0" w:color="auto"/>
      </w:divBdr>
    </w:div>
    <w:div w:id="1989555848">
      <w:bodyDiv w:val="1"/>
      <w:marLeft w:val="0"/>
      <w:marRight w:val="0"/>
      <w:marTop w:val="0"/>
      <w:marBottom w:val="0"/>
      <w:divBdr>
        <w:top w:val="none" w:sz="0" w:space="0" w:color="auto"/>
        <w:left w:val="none" w:sz="0" w:space="0" w:color="auto"/>
        <w:bottom w:val="none" w:sz="0" w:space="0" w:color="auto"/>
        <w:right w:val="none" w:sz="0" w:space="0" w:color="auto"/>
      </w:divBdr>
    </w:div>
    <w:div w:id="1999188345">
      <w:bodyDiv w:val="1"/>
      <w:marLeft w:val="0"/>
      <w:marRight w:val="0"/>
      <w:marTop w:val="0"/>
      <w:marBottom w:val="0"/>
      <w:divBdr>
        <w:top w:val="none" w:sz="0" w:space="0" w:color="auto"/>
        <w:left w:val="none" w:sz="0" w:space="0" w:color="auto"/>
        <w:bottom w:val="none" w:sz="0" w:space="0" w:color="auto"/>
        <w:right w:val="none" w:sz="0" w:space="0" w:color="auto"/>
      </w:divBdr>
    </w:div>
    <w:div w:id="2013987221">
      <w:bodyDiv w:val="1"/>
      <w:marLeft w:val="0"/>
      <w:marRight w:val="0"/>
      <w:marTop w:val="0"/>
      <w:marBottom w:val="0"/>
      <w:divBdr>
        <w:top w:val="none" w:sz="0" w:space="0" w:color="auto"/>
        <w:left w:val="none" w:sz="0" w:space="0" w:color="auto"/>
        <w:bottom w:val="none" w:sz="0" w:space="0" w:color="auto"/>
        <w:right w:val="none" w:sz="0" w:space="0" w:color="auto"/>
      </w:divBdr>
    </w:div>
    <w:div w:id="2030720511">
      <w:bodyDiv w:val="1"/>
      <w:marLeft w:val="0"/>
      <w:marRight w:val="0"/>
      <w:marTop w:val="0"/>
      <w:marBottom w:val="0"/>
      <w:divBdr>
        <w:top w:val="none" w:sz="0" w:space="0" w:color="auto"/>
        <w:left w:val="none" w:sz="0" w:space="0" w:color="auto"/>
        <w:bottom w:val="none" w:sz="0" w:space="0" w:color="auto"/>
        <w:right w:val="none" w:sz="0" w:space="0" w:color="auto"/>
      </w:divBdr>
    </w:div>
    <w:div w:id="2057074468">
      <w:bodyDiv w:val="1"/>
      <w:marLeft w:val="0"/>
      <w:marRight w:val="0"/>
      <w:marTop w:val="0"/>
      <w:marBottom w:val="0"/>
      <w:divBdr>
        <w:top w:val="none" w:sz="0" w:space="0" w:color="auto"/>
        <w:left w:val="none" w:sz="0" w:space="0" w:color="auto"/>
        <w:bottom w:val="none" w:sz="0" w:space="0" w:color="auto"/>
        <w:right w:val="none" w:sz="0" w:space="0" w:color="auto"/>
      </w:divBdr>
    </w:div>
    <w:div w:id="2067022128">
      <w:bodyDiv w:val="1"/>
      <w:marLeft w:val="0"/>
      <w:marRight w:val="0"/>
      <w:marTop w:val="0"/>
      <w:marBottom w:val="0"/>
      <w:divBdr>
        <w:top w:val="none" w:sz="0" w:space="0" w:color="auto"/>
        <w:left w:val="none" w:sz="0" w:space="0" w:color="auto"/>
        <w:bottom w:val="none" w:sz="0" w:space="0" w:color="auto"/>
        <w:right w:val="none" w:sz="0" w:space="0" w:color="auto"/>
      </w:divBdr>
    </w:div>
    <w:div w:id="21127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long-read/national-medicines-optimisation-opportunities-2023-24/" TargetMode="External"/><Relationship Id="rId18" Type="http://schemas.openxmlformats.org/officeDocument/2006/relationships/hyperlink" Target="https://www.nice.org.uk/guidance/ng238/resources/nhs-england-lipid-management-national-treatment-algorithm-and-pathway-8777820925" TargetMode="External"/><Relationship Id="rId26" Type="http://schemas.openxmlformats.org/officeDocument/2006/relationships/hyperlink" Target="file:///C:\Users\Janice.Craig\AppData\Local\Microsoft\Windows\INetCache\Content.MSO\NG28%20Visual%20summary%20on%20choosing%20medicines%20for%20type%202%20diabetes%20in%20adults%20(nice.org.uk)" TargetMode="External"/><Relationship Id="rId39" Type="http://schemas.openxmlformats.org/officeDocument/2006/relationships/hyperlink" Target="https://www.cvdprevent.nhs.uk/dataexplorer?period=10&amp;level=7&amp;area=8058&amp;indicator=23" TargetMode="External"/><Relationship Id="rId3" Type="http://schemas.openxmlformats.org/officeDocument/2006/relationships/styles" Target="styles.xml"/><Relationship Id="rId21" Type="http://schemas.openxmlformats.org/officeDocument/2006/relationships/hyperlink" Target="https://www.rcplondon.ac.uk/projects/national-review-asthma-deaths" TargetMode="External"/><Relationship Id="rId34" Type="http://schemas.openxmlformats.org/officeDocument/2006/relationships/hyperlink" Target="https://cpe.org.uk/national-pharmacy-services/advanced-services/pharmacy-first-service/" TargetMode="External"/><Relationship Id="rId42" Type="http://schemas.openxmlformats.org/officeDocument/2006/relationships/hyperlink" Target="https://gpevidence.or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e.org.uk/guidance/ng115" TargetMode="External"/><Relationship Id="rId17" Type="http://schemas.openxmlformats.org/officeDocument/2006/relationships/hyperlink" Target="https://www.england.nhs.uk/aac/publication/summary-of-national-guidance-for-lipid-management/" TargetMode="External"/><Relationship Id="rId25" Type="http://schemas.openxmlformats.org/officeDocument/2006/relationships/hyperlink" Target="https://www.nice.org.uk/guidance/ng28" TargetMode="External"/><Relationship Id="rId33" Type="http://schemas.openxmlformats.org/officeDocument/2006/relationships/hyperlink" Target="https://viewer.microguide.global/SCAN/SCAN" TargetMode="External"/><Relationship Id="rId38" Type="http://schemas.openxmlformats.org/officeDocument/2006/relationships/hyperlink" Target="https://www.longtermplan.nhs.uk/areas-of-wor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vdprevent.nhs.uk/home" TargetMode="External"/><Relationship Id="rId20" Type="http://schemas.openxmlformats.org/officeDocument/2006/relationships/hyperlink" Target="https://www.england.nhs.uk/long-read/national-medicines-optimisation-opportunities-2023-24/" TargetMode="External"/><Relationship Id="rId29" Type="http://schemas.openxmlformats.org/officeDocument/2006/relationships/hyperlink" Target="https://elearning.rcgp.org.uk/mod/book/view.php?id=12897" TargetMode="External"/><Relationship Id="rId41" Type="http://schemas.openxmlformats.org/officeDocument/2006/relationships/hyperlink" Target="https://www.nice.org.uk/guidance/ng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pcrs-uk.org/resource/asthma-slide-rule" TargetMode="External"/><Relationship Id="rId32" Type="http://schemas.openxmlformats.org/officeDocument/2006/relationships/hyperlink" Target="https://www.england.nhs.uk/long-read/national-medicines-optimisation-opportunities-2023-24/" TargetMode="External"/><Relationship Id="rId37" Type="http://schemas.openxmlformats.org/officeDocument/2006/relationships/hyperlink" Target="file://\\infohub.nhs.uk\BOBICB\Directorate\ICB\Medical%20Directorate\Medicines%20Optimisation\Quality%20and%20Safety%20Workstream\PQS%202024-25\Documents\Digital%20service%20to%20manage%20high-risk%20chronic%20obstructive%20pulmonary%20disease%20(COPD)%20patients%20-%20Respiratory%20digital%20playbook%20-%20NHS%20Transformation%20Directorate%20(england.nhs.uk)" TargetMode="External"/><Relationship Id="rId40" Type="http://schemas.openxmlformats.org/officeDocument/2006/relationships/hyperlink" Target="https://www.rcplondon.ac.uk/projects/national-review-asthma-death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ongtermplan.nhs.uk/" TargetMode="External"/><Relationship Id="rId23" Type="http://schemas.openxmlformats.org/officeDocument/2006/relationships/hyperlink" Target="https://www.england.nhs.uk/long-read/national-medicines-optimisation-opportunities-2023-24/" TargetMode="External"/><Relationship Id="rId28" Type="http://schemas.openxmlformats.org/officeDocument/2006/relationships/hyperlink" Target="https://www.england.nhs.uk/long-read/national-medicines-optimisation-opportunities-2023-24/" TargetMode="External"/><Relationship Id="rId36" Type="http://schemas.openxmlformats.org/officeDocument/2006/relationships/hyperlink" Target="https://clinox.info/clinical-support/local-pathways-and-guidelines/Clinical%20Guidelines/BOB%20ICB%20Adult%20Oral%20Nutritional%20Supplement%20and%20Tube%20Feed%20Formulary.pdf" TargetMode="External"/><Relationship Id="rId10" Type="http://schemas.openxmlformats.org/officeDocument/2006/relationships/image" Target="media/image2.emf"/><Relationship Id="rId19" Type="http://schemas.openxmlformats.org/officeDocument/2006/relationships/hyperlink" Target="https://www.england.nhs.uk/aac/publication/statin-intolerance-pathway/" TargetMode="External"/><Relationship Id="rId31" Type="http://schemas.openxmlformats.org/officeDocument/2006/relationships/hyperlink" Target="https://www.england.nhs.uk/long-read/national-medicines-optimisation-opportunities-2023-24/" TargetMode="External"/><Relationship Id="rId44" Type="http://schemas.openxmlformats.org/officeDocument/2006/relationships/hyperlink" Target="https://www.sciencedirect.com/science/article/abs/pii/S1198743X21006248" TargetMode="External"/><Relationship Id="rId4" Type="http://schemas.openxmlformats.org/officeDocument/2006/relationships/settings" Target="settings.xml"/><Relationship Id="rId9" Type="http://schemas.openxmlformats.org/officeDocument/2006/relationships/hyperlink" Target="https://teamnet.clarity.co.uk/Library/ViewItem/156754f9-0cf5-4a23-85a6-ab1a01177022?uid=477767705&amp;uid2=202442153649347" TargetMode="External"/><Relationship Id="rId14" Type="http://schemas.openxmlformats.org/officeDocument/2006/relationships/hyperlink" Target="https://www.cqc.org.uk/guidance-providers/gps/gp-mythbusters/gp-mythbuster-28-management-controlled-drugs" TargetMode="External"/><Relationship Id="rId22" Type="http://schemas.openxmlformats.org/officeDocument/2006/relationships/hyperlink" Target="https://www.england.nhs.uk/long-read/national-medicines-optimisation-opportunities-2023-24/" TargetMode="External"/><Relationship Id="rId27" Type="http://schemas.openxmlformats.org/officeDocument/2006/relationships/hyperlink" Target="https://www.nice.org.uk/guidance/ng28/evidence/b-pharmacological-therapies-with-cardiovascular-and-other-benefits-in-people-with-type-2-diabetes-pdf-10956473392" TargetMode="External"/><Relationship Id="rId30" Type="http://schemas.openxmlformats.org/officeDocument/2006/relationships/hyperlink" Target="https://www.thinkkidneys.nhs.uk/aki/wp-content/uploads/sites/2/2017/06/Quick-reference-guide-FINAL.pdf" TargetMode="External"/><Relationship Id="rId35" Type="http://schemas.openxmlformats.org/officeDocument/2006/relationships/hyperlink" Target="https://antibioticguardian.com/" TargetMode="External"/><Relationship Id="rId43" Type="http://schemas.openxmlformats.org/officeDocument/2006/relationships/hyperlink" Target="https://www.england.nhs.uk/long-read/national-medicines-optimisation-opportunities-2023-2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06BF-8C6A-476C-AB86-A692C4B7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1701</Words>
  <Characters>14756</Characters>
  <Application>Microsoft Office Word</Application>
  <DocSecurity>8</DocSecurity>
  <Lines>122</Lines>
  <Paragraphs>32</Paragraphs>
  <ScaleCrop>false</ScaleCrop>
  <HeadingPairs>
    <vt:vector size="2" baseType="variant">
      <vt:variant>
        <vt:lpstr>Title</vt:lpstr>
      </vt:variant>
      <vt:variant>
        <vt:i4>1</vt:i4>
      </vt:variant>
    </vt:vector>
  </HeadingPairs>
  <TitlesOfParts>
    <vt:vector size="1" baseType="lpstr">
      <vt:lpstr>Prescribing Incentive Scheme (P</vt:lpstr>
    </vt:vector>
  </TitlesOfParts>
  <Company>Berkshire NHS</Company>
  <LinksUpToDate>false</LinksUpToDate>
  <CharactersWithSpaces>16425</CharactersWithSpaces>
  <SharedDoc>false</SharedDoc>
  <HLinks>
    <vt:vector size="6" baseType="variant">
      <vt:variant>
        <vt:i4>1376339</vt:i4>
      </vt:variant>
      <vt:variant>
        <vt:i4>0</vt:i4>
      </vt:variant>
      <vt:variant>
        <vt:i4>0</vt:i4>
      </vt:variant>
      <vt:variant>
        <vt:i4>5</vt:i4>
      </vt:variant>
      <vt:variant>
        <vt:lpwstr>http://www.rcgp.org.uk/clinical-and-research/target-antibiotics-toolkit/~/media/Files/CIRC/TARGET/October-2013/RCGP-UTI-Audit-Report-Template-Sept-2013.ashx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Prescribing Incentive Scheme (P</dc:title>
  <dc:creator>mahay</dc:creator>
  <cp:lastModifiedBy>CRAIG, Janice (NHS BUCKINGHAMSHIRE, OXFORDSHIRE AND BERKSHIRE WEST ICB - 14Y)</cp:lastModifiedBy>
  <cp:revision>2</cp:revision>
  <cp:lastPrinted>2023-04-26T09:09:00Z</cp:lastPrinted>
  <dcterms:created xsi:type="dcterms:W3CDTF">2024-04-04T09:48:00Z</dcterms:created>
  <dcterms:modified xsi:type="dcterms:W3CDTF">2024-04-04T09:48:00Z</dcterms:modified>
</cp:coreProperties>
</file>