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FED9E" w14:textId="2E298381" w:rsidR="00A9206D" w:rsidRPr="00CE1695" w:rsidRDefault="00370100" w:rsidP="00A9206D">
      <w:pPr>
        <w:jc w:val="center"/>
        <w:rPr>
          <w:b/>
          <w:bCs/>
          <w:sz w:val="22"/>
          <w:szCs w:val="22"/>
        </w:rPr>
      </w:pPr>
      <w:bookmarkStart w:id="0" w:name="_Toc220920189"/>
      <w:bookmarkStart w:id="1" w:name="_Toc285442998"/>
      <w:r w:rsidRPr="00CE1695">
        <w:rPr>
          <w:b/>
          <w:bCs/>
          <w:sz w:val="22"/>
          <w:szCs w:val="22"/>
        </w:rPr>
        <w:t xml:space="preserve">Pharmacy Take-Home Naloxone </w:t>
      </w:r>
      <w:r w:rsidR="003726A7" w:rsidRPr="00CE1695">
        <w:rPr>
          <w:b/>
          <w:bCs/>
          <w:sz w:val="22"/>
          <w:szCs w:val="22"/>
        </w:rPr>
        <w:t>(THN) P</w:t>
      </w:r>
      <w:r w:rsidR="0082741F" w:rsidRPr="00CE1695">
        <w:rPr>
          <w:b/>
          <w:bCs/>
          <w:sz w:val="22"/>
          <w:szCs w:val="22"/>
        </w:rPr>
        <w:t>ilot P</w:t>
      </w:r>
      <w:r w:rsidRPr="00CE1695">
        <w:rPr>
          <w:b/>
          <w:bCs/>
          <w:sz w:val="22"/>
          <w:szCs w:val="22"/>
        </w:rPr>
        <w:t>rogramme</w:t>
      </w:r>
    </w:p>
    <w:p w14:paraId="287BABDA" w14:textId="0D9D3B92" w:rsidR="00A9206D" w:rsidRPr="00CE1695" w:rsidRDefault="00AE29F0" w:rsidP="00AE29F0">
      <w:pPr>
        <w:jc w:val="center"/>
        <w:rPr>
          <w:b/>
          <w:bCs/>
          <w:sz w:val="22"/>
          <w:szCs w:val="22"/>
        </w:rPr>
      </w:pPr>
      <w:r w:rsidRPr="00CE1695">
        <w:rPr>
          <w:b/>
          <w:bCs/>
          <w:sz w:val="22"/>
          <w:szCs w:val="22"/>
        </w:rPr>
        <w:t>Schedule 1 Specification</w:t>
      </w:r>
    </w:p>
    <w:p w14:paraId="2B7CA1F0" w14:textId="77777777" w:rsidR="00A9206D" w:rsidRPr="00CE1695" w:rsidRDefault="00A9206D" w:rsidP="00A9206D">
      <w:pPr>
        <w:jc w:val="center"/>
        <w:rPr>
          <w:rFonts w:cs="Arial"/>
          <w:sz w:val="22"/>
          <w:szCs w:val="22"/>
        </w:rPr>
      </w:pP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107"/>
        <w:gridCol w:w="6816"/>
      </w:tblGrid>
      <w:tr w:rsidR="00A9206D" w:rsidRPr="00CE1695" w14:paraId="52D5B219" w14:textId="77777777" w:rsidTr="00935B8D">
        <w:trPr>
          <w:trHeight w:val="345"/>
        </w:trPr>
        <w:tc>
          <w:tcPr>
            <w:tcW w:w="3107" w:type="dxa"/>
            <w:shd w:val="clear" w:color="auto" w:fill="D9D9D9"/>
            <w:vAlign w:val="center"/>
          </w:tcPr>
          <w:p w14:paraId="675D428F" w14:textId="77777777" w:rsidR="00A9206D" w:rsidRPr="00CE1695" w:rsidRDefault="00A9206D" w:rsidP="00935B8D">
            <w:pPr>
              <w:suppressAutoHyphens w:val="0"/>
              <w:jc w:val="left"/>
              <w:rPr>
                <w:rFonts w:eastAsia="MS ??" w:cs="Arial"/>
                <w:b/>
                <w:sz w:val="22"/>
                <w:szCs w:val="22"/>
              </w:rPr>
            </w:pPr>
            <w:r w:rsidRPr="00CE1695">
              <w:rPr>
                <w:rFonts w:eastAsia="MS ??" w:cs="Arial"/>
                <w:b/>
                <w:sz w:val="22"/>
                <w:szCs w:val="22"/>
              </w:rPr>
              <w:t>Service</w:t>
            </w:r>
          </w:p>
        </w:tc>
        <w:tc>
          <w:tcPr>
            <w:tcW w:w="6816" w:type="dxa"/>
            <w:vAlign w:val="center"/>
          </w:tcPr>
          <w:p w14:paraId="7FCF6800" w14:textId="709D8807" w:rsidR="00A9206D" w:rsidRPr="00CE1695" w:rsidRDefault="000257B0" w:rsidP="00935B8D">
            <w:pPr>
              <w:suppressAutoHyphens w:val="0"/>
              <w:jc w:val="left"/>
              <w:rPr>
                <w:rFonts w:eastAsia="MS ??" w:cs="Arial"/>
                <w:b/>
                <w:bCs/>
                <w:sz w:val="22"/>
                <w:szCs w:val="22"/>
              </w:rPr>
            </w:pPr>
            <w:r w:rsidRPr="00CE1695">
              <w:rPr>
                <w:rFonts w:eastAsia="MS ??" w:cs="Arial"/>
                <w:b/>
                <w:bCs/>
                <w:sz w:val="22"/>
                <w:szCs w:val="22"/>
              </w:rPr>
              <w:t xml:space="preserve">Pharmacy </w:t>
            </w:r>
            <w:r w:rsidR="00A9206D" w:rsidRPr="00CE1695">
              <w:rPr>
                <w:rFonts w:eastAsia="MS ??" w:cs="Arial"/>
                <w:b/>
                <w:bCs/>
                <w:sz w:val="22"/>
                <w:szCs w:val="22"/>
              </w:rPr>
              <w:t xml:space="preserve">Take-Home Naloxone (THN) Pilot Programme </w:t>
            </w:r>
          </w:p>
        </w:tc>
      </w:tr>
      <w:tr w:rsidR="00A9206D" w:rsidRPr="00CE1695" w14:paraId="1EAE58F4" w14:textId="77777777" w:rsidTr="00935B8D">
        <w:trPr>
          <w:trHeight w:val="345"/>
        </w:trPr>
        <w:tc>
          <w:tcPr>
            <w:tcW w:w="3107" w:type="dxa"/>
            <w:shd w:val="clear" w:color="auto" w:fill="D9D9D9"/>
            <w:vAlign w:val="center"/>
          </w:tcPr>
          <w:p w14:paraId="6B1E4AB6" w14:textId="77777777" w:rsidR="00A9206D" w:rsidRPr="00CE1695" w:rsidRDefault="00A9206D" w:rsidP="00935B8D">
            <w:pPr>
              <w:suppressAutoHyphens w:val="0"/>
              <w:jc w:val="left"/>
              <w:rPr>
                <w:rFonts w:eastAsia="MS ??" w:cs="Arial"/>
                <w:b/>
                <w:sz w:val="22"/>
                <w:szCs w:val="22"/>
              </w:rPr>
            </w:pPr>
            <w:r w:rsidRPr="00CE1695">
              <w:rPr>
                <w:rFonts w:eastAsia="MS ??" w:cs="Arial"/>
                <w:b/>
                <w:sz w:val="22"/>
                <w:szCs w:val="22"/>
              </w:rPr>
              <w:t>Authority Lead</w:t>
            </w:r>
          </w:p>
        </w:tc>
        <w:tc>
          <w:tcPr>
            <w:tcW w:w="6816" w:type="dxa"/>
            <w:vAlign w:val="center"/>
          </w:tcPr>
          <w:p w14:paraId="04251BF6" w14:textId="14CB34E8" w:rsidR="00A9206D" w:rsidRPr="00CE1695" w:rsidRDefault="00526215" w:rsidP="00526215">
            <w:pPr>
              <w:rPr>
                <w:b/>
                <w:bCs/>
                <w:color w:val="000000"/>
                <w:sz w:val="22"/>
                <w:szCs w:val="22"/>
                <w:lang w:eastAsia="en-GB"/>
              </w:rPr>
            </w:pPr>
            <w:r w:rsidRPr="00CE1695">
              <w:rPr>
                <w:rFonts w:eastAsia="MS ??" w:cs="Arial"/>
                <w:b/>
                <w:bCs/>
                <w:sz w:val="22"/>
                <w:szCs w:val="22"/>
              </w:rPr>
              <w:t xml:space="preserve">Kate Holburn – </w:t>
            </w:r>
            <w:r w:rsidRPr="00CE1695">
              <w:rPr>
                <w:b/>
                <w:bCs/>
                <w:color w:val="000000"/>
                <w:sz w:val="22"/>
                <w:szCs w:val="22"/>
                <w:lang w:eastAsia="en-GB"/>
              </w:rPr>
              <w:t>Head of Public Health Programmes, Live Well - Improve and Enable</w:t>
            </w:r>
          </w:p>
        </w:tc>
      </w:tr>
      <w:tr w:rsidR="007214F0" w:rsidRPr="00CE1695" w14:paraId="3AF5642A" w14:textId="77777777" w:rsidTr="00935B8D">
        <w:trPr>
          <w:trHeight w:val="345"/>
        </w:trPr>
        <w:tc>
          <w:tcPr>
            <w:tcW w:w="3107" w:type="dxa"/>
            <w:shd w:val="clear" w:color="auto" w:fill="D9D9D9"/>
            <w:vAlign w:val="center"/>
          </w:tcPr>
          <w:p w14:paraId="051D83D9" w14:textId="1909D449" w:rsidR="007214F0" w:rsidRPr="00CE1695" w:rsidRDefault="007214F0" w:rsidP="00935B8D">
            <w:pPr>
              <w:suppressAutoHyphens w:val="0"/>
              <w:jc w:val="left"/>
              <w:rPr>
                <w:rFonts w:eastAsia="MS ??" w:cs="Arial"/>
                <w:b/>
                <w:sz w:val="22"/>
                <w:szCs w:val="22"/>
              </w:rPr>
            </w:pPr>
            <w:r w:rsidRPr="00CE1695">
              <w:rPr>
                <w:rFonts w:eastAsia="MS ??" w:cs="Arial"/>
                <w:b/>
                <w:sz w:val="22"/>
                <w:szCs w:val="22"/>
              </w:rPr>
              <w:t>Date</w:t>
            </w:r>
          </w:p>
        </w:tc>
        <w:tc>
          <w:tcPr>
            <w:tcW w:w="6816" w:type="dxa"/>
            <w:vAlign w:val="center"/>
          </w:tcPr>
          <w:p w14:paraId="5857CA36" w14:textId="4EE180E9" w:rsidR="007214F0" w:rsidRPr="00CE1695" w:rsidDel="000B6828" w:rsidRDefault="000257B0" w:rsidP="00935B8D">
            <w:pPr>
              <w:suppressAutoHyphens w:val="0"/>
              <w:jc w:val="left"/>
              <w:rPr>
                <w:rFonts w:eastAsia="MS ??" w:cs="Arial"/>
                <w:b/>
                <w:bCs/>
                <w:sz w:val="22"/>
                <w:szCs w:val="22"/>
              </w:rPr>
            </w:pPr>
            <w:r w:rsidRPr="00CE1695">
              <w:rPr>
                <w:rFonts w:eastAsia="MS ??" w:cs="Arial"/>
                <w:b/>
                <w:bCs/>
                <w:sz w:val="22"/>
                <w:szCs w:val="22"/>
              </w:rPr>
              <w:t>1</w:t>
            </w:r>
            <w:r w:rsidRPr="00CE1695">
              <w:rPr>
                <w:rFonts w:eastAsia="MS ??" w:cs="Arial"/>
                <w:b/>
                <w:bCs/>
                <w:sz w:val="22"/>
                <w:szCs w:val="22"/>
                <w:vertAlign w:val="superscript"/>
              </w:rPr>
              <w:t>st</w:t>
            </w:r>
            <w:r w:rsidRPr="00CE1695">
              <w:rPr>
                <w:rFonts w:eastAsia="MS ??" w:cs="Arial"/>
                <w:b/>
                <w:bCs/>
                <w:sz w:val="22"/>
                <w:szCs w:val="22"/>
              </w:rPr>
              <w:t xml:space="preserve"> July</w:t>
            </w:r>
            <w:r w:rsidR="007214F0" w:rsidRPr="00CE1695">
              <w:rPr>
                <w:rFonts w:eastAsia="MS ??" w:cs="Arial"/>
                <w:b/>
                <w:bCs/>
                <w:sz w:val="22"/>
                <w:szCs w:val="22"/>
              </w:rPr>
              <w:t xml:space="preserve"> 2024 </w:t>
            </w:r>
            <w:r w:rsidR="007214F0" w:rsidRPr="006B1B5D">
              <w:rPr>
                <w:rFonts w:eastAsia="MS ??" w:cs="Arial"/>
                <w:b/>
                <w:bCs/>
                <w:sz w:val="22"/>
                <w:szCs w:val="22"/>
              </w:rPr>
              <w:t xml:space="preserve">– </w:t>
            </w:r>
            <w:r w:rsidRPr="006B1B5D">
              <w:rPr>
                <w:rFonts w:eastAsia="MS ??" w:cs="Arial"/>
                <w:b/>
                <w:bCs/>
                <w:sz w:val="22"/>
                <w:szCs w:val="22"/>
              </w:rPr>
              <w:t>3</w:t>
            </w:r>
            <w:r w:rsidR="0010065E" w:rsidRPr="006B1B5D">
              <w:rPr>
                <w:rFonts w:eastAsia="MS ??" w:cs="Arial"/>
                <w:b/>
                <w:bCs/>
                <w:sz w:val="22"/>
                <w:szCs w:val="22"/>
              </w:rPr>
              <w:t>1</w:t>
            </w:r>
            <w:r w:rsidR="0010065E" w:rsidRPr="006B1B5D">
              <w:rPr>
                <w:rFonts w:eastAsia="MS ??" w:cs="Arial"/>
                <w:b/>
                <w:bCs/>
                <w:sz w:val="22"/>
                <w:szCs w:val="22"/>
                <w:vertAlign w:val="superscript"/>
              </w:rPr>
              <w:t>st</w:t>
            </w:r>
            <w:r w:rsidRPr="006B1B5D">
              <w:rPr>
                <w:rFonts w:eastAsia="MS ??" w:cs="Arial"/>
                <w:b/>
                <w:bCs/>
                <w:sz w:val="22"/>
                <w:szCs w:val="22"/>
              </w:rPr>
              <w:t xml:space="preserve"> </w:t>
            </w:r>
            <w:r w:rsidR="0010065E" w:rsidRPr="006B1B5D">
              <w:rPr>
                <w:rFonts w:eastAsia="MS ??" w:cs="Arial"/>
                <w:b/>
                <w:bCs/>
                <w:sz w:val="22"/>
                <w:szCs w:val="22"/>
              </w:rPr>
              <w:t xml:space="preserve">March </w:t>
            </w:r>
            <w:r w:rsidR="007214F0" w:rsidRPr="006B1B5D">
              <w:rPr>
                <w:rFonts w:eastAsia="MS ??" w:cs="Arial"/>
                <w:b/>
                <w:bCs/>
                <w:sz w:val="22"/>
                <w:szCs w:val="22"/>
              </w:rPr>
              <w:t>2026</w:t>
            </w:r>
          </w:p>
        </w:tc>
      </w:tr>
    </w:tbl>
    <w:p w14:paraId="21973F0A" w14:textId="77777777" w:rsidR="00A9206D" w:rsidRPr="00CE1695" w:rsidRDefault="00A9206D" w:rsidP="00A9206D">
      <w:pPr>
        <w:rPr>
          <w:rFonts w:cs="Arial"/>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9206D" w:rsidRPr="00CE1695" w14:paraId="4B3D4495" w14:textId="77777777" w:rsidTr="00935B8D">
        <w:tc>
          <w:tcPr>
            <w:tcW w:w="9923" w:type="dxa"/>
            <w:tcBorders>
              <w:top w:val="single" w:sz="4" w:space="0" w:color="999999"/>
              <w:left w:val="single" w:sz="4" w:space="0" w:color="999999"/>
              <w:bottom w:val="single" w:sz="4" w:space="0" w:color="999999"/>
              <w:right w:val="single" w:sz="4" w:space="0" w:color="999999"/>
            </w:tcBorders>
            <w:shd w:val="clear" w:color="auto" w:fill="D9D9D9"/>
          </w:tcPr>
          <w:p w14:paraId="425A3787" w14:textId="77777777" w:rsidR="00A9206D" w:rsidRPr="00CE1695" w:rsidRDefault="00A9206D" w:rsidP="00935B8D">
            <w:pPr>
              <w:suppressAutoHyphens w:val="0"/>
              <w:rPr>
                <w:rFonts w:eastAsia="MS ??" w:cs="Arial"/>
                <w:b/>
                <w:sz w:val="22"/>
                <w:szCs w:val="22"/>
              </w:rPr>
            </w:pPr>
          </w:p>
          <w:p w14:paraId="1A11082B" w14:textId="618E1D6D" w:rsidR="00A9206D" w:rsidRPr="00CE1695" w:rsidRDefault="00A9206D" w:rsidP="00AC4C16">
            <w:pPr>
              <w:pStyle w:val="ListParagraph"/>
              <w:numPr>
                <w:ilvl w:val="0"/>
                <w:numId w:val="50"/>
              </w:numPr>
              <w:suppressAutoHyphens w:val="0"/>
              <w:rPr>
                <w:rFonts w:eastAsia="MS ??" w:cs="Arial"/>
                <w:b/>
                <w:sz w:val="22"/>
                <w:szCs w:val="22"/>
              </w:rPr>
            </w:pPr>
            <w:r w:rsidRPr="00CE1695">
              <w:rPr>
                <w:rFonts w:eastAsia="MS ??" w:cs="Arial"/>
                <w:b/>
                <w:sz w:val="22"/>
                <w:szCs w:val="22"/>
              </w:rPr>
              <w:t>Population Needs</w:t>
            </w:r>
          </w:p>
          <w:p w14:paraId="1A731019" w14:textId="77777777" w:rsidR="00A9206D" w:rsidRPr="00CE1695" w:rsidRDefault="00A9206D" w:rsidP="00935B8D">
            <w:pPr>
              <w:suppressAutoHyphens w:val="0"/>
              <w:rPr>
                <w:rFonts w:eastAsia="MS ??" w:cs="Arial"/>
                <w:b/>
                <w:sz w:val="22"/>
                <w:szCs w:val="22"/>
              </w:rPr>
            </w:pPr>
          </w:p>
        </w:tc>
      </w:tr>
      <w:tr w:rsidR="00A9206D" w:rsidRPr="00CE1695" w14:paraId="1D080385" w14:textId="77777777" w:rsidTr="00935B8D">
        <w:tc>
          <w:tcPr>
            <w:tcW w:w="9923" w:type="dxa"/>
            <w:tcBorders>
              <w:top w:val="single" w:sz="4" w:space="0" w:color="999999"/>
              <w:left w:val="single" w:sz="4" w:space="0" w:color="999999"/>
              <w:bottom w:val="single" w:sz="4" w:space="0" w:color="999999"/>
              <w:right w:val="single" w:sz="4" w:space="0" w:color="999999"/>
            </w:tcBorders>
          </w:tcPr>
          <w:p w14:paraId="1348B5DF" w14:textId="77777777" w:rsidR="00A9206D" w:rsidRPr="00CE1695" w:rsidRDefault="00A9206D" w:rsidP="00935B8D">
            <w:pPr>
              <w:suppressAutoHyphens w:val="0"/>
              <w:rPr>
                <w:rFonts w:eastAsia="MS ??" w:cs="Arial"/>
                <w:b/>
                <w:bCs/>
                <w:sz w:val="22"/>
                <w:szCs w:val="22"/>
              </w:rPr>
            </w:pPr>
          </w:p>
          <w:p w14:paraId="6775E568" w14:textId="32CA0C81" w:rsidR="00A9206D" w:rsidRPr="00CE1695" w:rsidRDefault="00A9206D" w:rsidP="00AC4C16">
            <w:pPr>
              <w:pStyle w:val="ListParagraph"/>
              <w:numPr>
                <w:ilvl w:val="1"/>
                <w:numId w:val="50"/>
              </w:numPr>
              <w:suppressAutoHyphens w:val="0"/>
              <w:jc w:val="left"/>
              <w:rPr>
                <w:rFonts w:cs="Arial"/>
                <w:b/>
                <w:sz w:val="22"/>
                <w:szCs w:val="22"/>
              </w:rPr>
            </w:pPr>
            <w:r w:rsidRPr="00CE1695">
              <w:rPr>
                <w:rFonts w:cs="Arial"/>
                <w:b/>
                <w:sz w:val="22"/>
                <w:szCs w:val="22"/>
              </w:rPr>
              <w:t>National Context</w:t>
            </w:r>
            <w:r w:rsidR="00AE29F0" w:rsidRPr="00CE1695">
              <w:rPr>
                <w:rFonts w:cs="Arial"/>
                <w:b/>
                <w:sz w:val="22"/>
                <w:szCs w:val="22"/>
              </w:rPr>
              <w:t xml:space="preserve"> and </w:t>
            </w:r>
            <w:r w:rsidRPr="00CE1695">
              <w:rPr>
                <w:rFonts w:cs="Arial"/>
                <w:b/>
                <w:sz w:val="22"/>
                <w:szCs w:val="22"/>
              </w:rPr>
              <w:t>Evidence Base</w:t>
            </w:r>
          </w:p>
          <w:p w14:paraId="7D38049C" w14:textId="3497FDAF" w:rsidR="00906EA0" w:rsidRPr="00CE1695" w:rsidRDefault="00EA7807" w:rsidP="00935B8D">
            <w:pPr>
              <w:suppressAutoHyphens w:val="0"/>
              <w:contextualSpacing/>
              <w:rPr>
                <w:sz w:val="22"/>
                <w:szCs w:val="22"/>
              </w:rPr>
            </w:pPr>
            <w:r w:rsidRPr="00CE1695">
              <w:rPr>
                <w:sz w:val="22"/>
                <w:szCs w:val="22"/>
              </w:rPr>
              <w:t>4,</w:t>
            </w:r>
            <w:r w:rsidR="00CD5527" w:rsidRPr="00CE1695">
              <w:rPr>
                <w:sz w:val="22"/>
                <w:szCs w:val="22"/>
              </w:rPr>
              <w:t>907</w:t>
            </w:r>
            <w:r w:rsidRPr="00CE1695">
              <w:rPr>
                <w:sz w:val="22"/>
                <w:szCs w:val="22"/>
              </w:rPr>
              <w:t xml:space="preserve"> deaths related to drug poisoning were registered in England and Wales in 202</w:t>
            </w:r>
            <w:r w:rsidR="00CD5527" w:rsidRPr="00CE1695">
              <w:rPr>
                <w:sz w:val="22"/>
                <w:szCs w:val="22"/>
              </w:rPr>
              <w:t>2</w:t>
            </w:r>
            <w:r w:rsidR="00E97AD0" w:rsidRPr="00CE1695">
              <w:rPr>
                <w:sz w:val="22"/>
                <w:szCs w:val="22"/>
              </w:rPr>
              <w:t xml:space="preserve"> (equivalent to 84.4 deaths per million people)</w:t>
            </w:r>
            <w:r w:rsidRPr="00CE1695">
              <w:rPr>
                <w:sz w:val="22"/>
                <w:szCs w:val="22"/>
              </w:rPr>
              <w:t>; this is the highest number since records began in 1993 and 6.5% higher than in 2020</w:t>
            </w:r>
            <w:r w:rsidR="00461FD9" w:rsidRPr="00CE1695">
              <w:rPr>
                <w:sz w:val="22"/>
                <w:szCs w:val="22"/>
              </w:rPr>
              <w:t>;</w:t>
            </w:r>
            <w:r w:rsidRPr="00CE1695">
              <w:rPr>
                <w:sz w:val="22"/>
                <w:szCs w:val="22"/>
              </w:rPr>
              <w:t xml:space="preserve"> </w:t>
            </w:r>
            <w:r w:rsidR="00906EA0" w:rsidRPr="00CE1695">
              <w:rPr>
                <w:sz w:val="22"/>
                <w:szCs w:val="22"/>
              </w:rPr>
              <w:t>3</w:t>
            </w:r>
            <w:r w:rsidR="00CD5527" w:rsidRPr="00CE1695">
              <w:rPr>
                <w:sz w:val="22"/>
                <w:szCs w:val="22"/>
              </w:rPr>
              <w:t>,127</w:t>
            </w:r>
            <w:r w:rsidR="00906EA0" w:rsidRPr="00CE1695">
              <w:rPr>
                <w:sz w:val="22"/>
                <w:szCs w:val="22"/>
              </w:rPr>
              <w:t xml:space="preserve"> (63</w:t>
            </w:r>
            <w:r w:rsidR="00CD5527" w:rsidRPr="00CE1695">
              <w:rPr>
                <w:sz w:val="22"/>
                <w:szCs w:val="22"/>
              </w:rPr>
              <w:t>.7</w:t>
            </w:r>
            <w:r w:rsidR="00906EA0" w:rsidRPr="00CE1695">
              <w:rPr>
                <w:sz w:val="22"/>
                <w:szCs w:val="22"/>
              </w:rPr>
              <w:t xml:space="preserve">%) </w:t>
            </w:r>
            <w:r w:rsidR="002D49A4" w:rsidRPr="00CE1695">
              <w:rPr>
                <w:sz w:val="22"/>
                <w:szCs w:val="22"/>
              </w:rPr>
              <w:t xml:space="preserve">of these deaths </w:t>
            </w:r>
            <w:r w:rsidR="00906EA0" w:rsidRPr="00CE1695">
              <w:rPr>
                <w:sz w:val="22"/>
                <w:szCs w:val="22"/>
              </w:rPr>
              <w:t>were identified as drug misuse, accounting for 53.</w:t>
            </w:r>
            <w:r w:rsidR="00CD5527" w:rsidRPr="00CE1695">
              <w:rPr>
                <w:sz w:val="22"/>
                <w:szCs w:val="22"/>
              </w:rPr>
              <w:t>9</w:t>
            </w:r>
            <w:r w:rsidR="00906EA0" w:rsidRPr="00CE1695">
              <w:rPr>
                <w:sz w:val="22"/>
                <w:szCs w:val="22"/>
              </w:rPr>
              <w:t xml:space="preserve"> deaths per million people</w:t>
            </w:r>
            <w:r w:rsidR="002D49A4" w:rsidRPr="00CE1695">
              <w:rPr>
                <w:rStyle w:val="FootnoteReference"/>
                <w:sz w:val="22"/>
                <w:szCs w:val="22"/>
              </w:rPr>
              <w:footnoteReference w:id="1"/>
            </w:r>
            <w:r w:rsidR="002D49A4" w:rsidRPr="00CE1695">
              <w:rPr>
                <w:sz w:val="22"/>
                <w:szCs w:val="22"/>
              </w:rPr>
              <w:t>.</w:t>
            </w:r>
            <w:r w:rsidR="00E97AD0" w:rsidRPr="00CE1695">
              <w:rPr>
                <w:sz w:val="22"/>
                <w:szCs w:val="22"/>
              </w:rPr>
              <w:t xml:space="preserve"> Drug-related deaths have been on an upward trend for the past decade. The reasons behind this are complex, however, the overall trend is driven by deaths involving opiates.</w:t>
            </w:r>
          </w:p>
          <w:p w14:paraId="32380FC8" w14:textId="71D234C7" w:rsidR="00461FD9" w:rsidRPr="00CE1695" w:rsidRDefault="00461FD9" w:rsidP="00935B8D">
            <w:pPr>
              <w:suppressAutoHyphens w:val="0"/>
              <w:contextualSpacing/>
              <w:rPr>
                <w:sz w:val="22"/>
                <w:szCs w:val="22"/>
              </w:rPr>
            </w:pPr>
          </w:p>
          <w:p w14:paraId="47FCBF01" w14:textId="24272BB0" w:rsidR="002D49A4" w:rsidRPr="00CE1695" w:rsidRDefault="00517220" w:rsidP="002D49A4">
            <w:pPr>
              <w:suppressAutoHyphens w:val="0"/>
              <w:contextualSpacing/>
              <w:rPr>
                <w:sz w:val="22"/>
                <w:szCs w:val="22"/>
              </w:rPr>
            </w:pPr>
            <w:r w:rsidRPr="00CE1695">
              <w:rPr>
                <w:sz w:val="22"/>
                <w:szCs w:val="22"/>
              </w:rPr>
              <w:t>A</w:t>
            </w:r>
            <w:r w:rsidR="00CD5527" w:rsidRPr="00CE1695">
              <w:rPr>
                <w:sz w:val="22"/>
                <w:szCs w:val="22"/>
              </w:rPr>
              <w:t>lmost</w:t>
            </w:r>
            <w:r w:rsidRPr="00CE1695">
              <w:rPr>
                <w:sz w:val="22"/>
                <w:szCs w:val="22"/>
              </w:rPr>
              <w:t xml:space="preserve"> half (</w:t>
            </w:r>
            <w:r w:rsidR="00CD5527" w:rsidRPr="00CE1695">
              <w:rPr>
                <w:sz w:val="22"/>
                <w:szCs w:val="22"/>
              </w:rPr>
              <w:t>2,261; 46.1%</w:t>
            </w:r>
            <w:r w:rsidRPr="00CE1695">
              <w:rPr>
                <w:sz w:val="22"/>
                <w:szCs w:val="22"/>
              </w:rPr>
              <w:t>)</w:t>
            </w:r>
            <w:r w:rsidR="002D49A4" w:rsidRPr="00CE1695">
              <w:rPr>
                <w:sz w:val="22"/>
                <w:szCs w:val="22"/>
              </w:rPr>
              <w:t xml:space="preserve"> of </w:t>
            </w:r>
            <w:r w:rsidRPr="00CE1695">
              <w:rPr>
                <w:sz w:val="22"/>
                <w:szCs w:val="22"/>
              </w:rPr>
              <w:t xml:space="preserve">all </w:t>
            </w:r>
            <w:r w:rsidR="002D49A4" w:rsidRPr="00CE1695">
              <w:rPr>
                <w:sz w:val="22"/>
                <w:szCs w:val="22"/>
              </w:rPr>
              <w:t>drug poisonings registered in 202</w:t>
            </w:r>
            <w:r w:rsidR="00CD5527" w:rsidRPr="00CE1695">
              <w:rPr>
                <w:sz w:val="22"/>
                <w:szCs w:val="22"/>
              </w:rPr>
              <w:t>2</w:t>
            </w:r>
            <w:r w:rsidRPr="00CE1695">
              <w:rPr>
                <w:sz w:val="22"/>
                <w:szCs w:val="22"/>
              </w:rPr>
              <w:t xml:space="preserve"> involved an opiate</w:t>
            </w:r>
            <w:r w:rsidR="00CE1695">
              <w:rPr>
                <w:sz w:val="22"/>
                <w:szCs w:val="22"/>
              </w:rPr>
              <w:t>;</w:t>
            </w:r>
            <w:r w:rsidR="002D49A4" w:rsidRPr="00CE1695">
              <w:rPr>
                <w:sz w:val="22"/>
                <w:szCs w:val="22"/>
              </w:rPr>
              <w:t xml:space="preserve"> </w:t>
            </w:r>
            <w:r w:rsidR="00DD091E">
              <w:rPr>
                <w:sz w:val="22"/>
                <w:szCs w:val="22"/>
              </w:rPr>
              <w:t>h</w:t>
            </w:r>
            <w:r w:rsidR="002D49A4" w:rsidRPr="00CE1695">
              <w:rPr>
                <w:sz w:val="22"/>
                <w:szCs w:val="22"/>
              </w:rPr>
              <w:t>eroin and morphine continued to be the most frequently mentioned opiates with 1,2</w:t>
            </w:r>
            <w:r w:rsidR="00CD5527" w:rsidRPr="00CE1695">
              <w:rPr>
                <w:sz w:val="22"/>
                <w:szCs w:val="22"/>
              </w:rPr>
              <w:t>56</w:t>
            </w:r>
            <w:r w:rsidR="002D49A4" w:rsidRPr="00CE1695">
              <w:rPr>
                <w:sz w:val="22"/>
                <w:szCs w:val="22"/>
              </w:rPr>
              <w:t xml:space="preserve"> drug poisoning deaths mentioning either one of these substances in 202</w:t>
            </w:r>
            <w:r w:rsidR="00CD5527" w:rsidRPr="00CE1695">
              <w:rPr>
                <w:sz w:val="22"/>
                <w:szCs w:val="22"/>
              </w:rPr>
              <w:t>2</w:t>
            </w:r>
            <w:r w:rsidR="002D49A4" w:rsidRPr="00CE1695">
              <w:rPr>
                <w:rStyle w:val="FootnoteReference"/>
                <w:sz w:val="22"/>
                <w:szCs w:val="22"/>
              </w:rPr>
              <w:t>1</w:t>
            </w:r>
          </w:p>
          <w:p w14:paraId="77BCC6F2" w14:textId="77777777" w:rsidR="00461FD9" w:rsidRPr="00CE1695" w:rsidRDefault="00461FD9" w:rsidP="00935B8D">
            <w:pPr>
              <w:suppressAutoHyphens w:val="0"/>
              <w:contextualSpacing/>
              <w:rPr>
                <w:sz w:val="22"/>
                <w:szCs w:val="22"/>
              </w:rPr>
            </w:pPr>
          </w:p>
          <w:p w14:paraId="4193F29C" w14:textId="3E669563" w:rsidR="00461FD9" w:rsidRPr="00CE1695" w:rsidRDefault="00461FD9" w:rsidP="00935B8D">
            <w:pPr>
              <w:suppressAutoHyphens w:val="0"/>
              <w:contextualSpacing/>
              <w:rPr>
                <w:sz w:val="22"/>
                <w:szCs w:val="22"/>
              </w:rPr>
            </w:pPr>
            <w:r w:rsidRPr="00CE1695">
              <w:rPr>
                <w:sz w:val="22"/>
                <w:szCs w:val="22"/>
              </w:rPr>
              <w:t xml:space="preserve">Naloxone is an emergency </w:t>
            </w:r>
            <w:r w:rsidR="002D49A4" w:rsidRPr="00CE1695">
              <w:rPr>
                <w:sz w:val="22"/>
                <w:szCs w:val="22"/>
              </w:rPr>
              <w:t xml:space="preserve">antidote </w:t>
            </w:r>
            <w:r w:rsidR="00A54F49">
              <w:rPr>
                <w:sz w:val="22"/>
                <w:szCs w:val="22"/>
              </w:rPr>
              <w:t xml:space="preserve">for overdoses caused by </w:t>
            </w:r>
            <w:r w:rsidR="00AE6334">
              <w:rPr>
                <w:sz w:val="22"/>
                <w:szCs w:val="22"/>
              </w:rPr>
              <w:t xml:space="preserve">heroin and other </w:t>
            </w:r>
            <w:r w:rsidR="00A54F49">
              <w:rPr>
                <w:sz w:val="22"/>
                <w:szCs w:val="22"/>
              </w:rPr>
              <w:t xml:space="preserve">opiates or </w:t>
            </w:r>
            <w:r w:rsidR="002D49A4" w:rsidRPr="00CE1695">
              <w:rPr>
                <w:sz w:val="22"/>
                <w:szCs w:val="22"/>
              </w:rPr>
              <w:t>opi</w:t>
            </w:r>
            <w:r w:rsidR="004C4FE1" w:rsidRPr="00CE1695">
              <w:rPr>
                <w:sz w:val="22"/>
                <w:szCs w:val="22"/>
              </w:rPr>
              <w:t>oid</w:t>
            </w:r>
            <w:r w:rsidR="002D49A4" w:rsidRPr="00CE1695">
              <w:rPr>
                <w:sz w:val="22"/>
                <w:szCs w:val="22"/>
              </w:rPr>
              <w:t xml:space="preserve">s. It blocks opioid receptors to counteract the effects of opioid </w:t>
            </w:r>
            <w:r w:rsidR="00077BD1" w:rsidRPr="00CE1695">
              <w:rPr>
                <w:sz w:val="22"/>
                <w:szCs w:val="22"/>
              </w:rPr>
              <w:t>drugs and</w:t>
            </w:r>
            <w:r w:rsidR="002D49A4" w:rsidRPr="00CE1695">
              <w:rPr>
                <w:sz w:val="22"/>
                <w:szCs w:val="22"/>
              </w:rPr>
              <w:t xml:space="preserve"> reverses the life-threatening effects of an overdose. Naloxone itself has no psychoactive properties and has “no intoxicating effects or misuse potential”</w:t>
            </w:r>
            <w:r w:rsidR="002D49A4" w:rsidRPr="00CE1695">
              <w:rPr>
                <w:rStyle w:val="FootnoteReference"/>
                <w:sz w:val="22"/>
                <w:szCs w:val="22"/>
              </w:rPr>
              <w:footnoteReference w:id="2"/>
            </w:r>
          </w:p>
          <w:p w14:paraId="5BE29C90" w14:textId="1F9D265E" w:rsidR="00F93895" w:rsidRPr="00CE1695" w:rsidRDefault="00F93895" w:rsidP="00935B8D">
            <w:pPr>
              <w:suppressAutoHyphens w:val="0"/>
              <w:contextualSpacing/>
              <w:rPr>
                <w:sz w:val="22"/>
                <w:szCs w:val="22"/>
              </w:rPr>
            </w:pPr>
          </w:p>
          <w:p w14:paraId="6AD5A6C2" w14:textId="53D32484" w:rsidR="00F93895" w:rsidRPr="00CE1695" w:rsidRDefault="008018AC" w:rsidP="00935B8D">
            <w:pPr>
              <w:suppressAutoHyphens w:val="0"/>
              <w:contextualSpacing/>
              <w:rPr>
                <w:sz w:val="22"/>
                <w:szCs w:val="22"/>
              </w:rPr>
            </w:pPr>
            <w:r>
              <w:rPr>
                <w:sz w:val="22"/>
                <w:szCs w:val="22"/>
              </w:rPr>
              <w:t xml:space="preserve">A take-home naloxone programme </w:t>
            </w:r>
            <w:r w:rsidR="00607E6C">
              <w:rPr>
                <w:sz w:val="22"/>
                <w:szCs w:val="22"/>
              </w:rPr>
              <w:t>suppli</w:t>
            </w:r>
            <w:r>
              <w:rPr>
                <w:sz w:val="22"/>
                <w:szCs w:val="22"/>
              </w:rPr>
              <w:t xml:space="preserve">es naloxone kits to </w:t>
            </w:r>
            <w:r w:rsidR="00607E6C">
              <w:rPr>
                <w:sz w:val="22"/>
                <w:szCs w:val="22"/>
              </w:rPr>
              <w:t>individuals</w:t>
            </w:r>
            <w:r>
              <w:rPr>
                <w:sz w:val="22"/>
                <w:szCs w:val="22"/>
              </w:rPr>
              <w:t xml:space="preserve"> at risk of an opioid overdose. </w:t>
            </w:r>
            <w:r w:rsidR="00F93895" w:rsidRPr="00CE1695">
              <w:rPr>
                <w:sz w:val="22"/>
                <w:szCs w:val="22"/>
              </w:rPr>
              <w:t xml:space="preserve">The </w:t>
            </w:r>
            <w:r w:rsidR="00CE1695" w:rsidRPr="000C1DAB">
              <w:rPr>
                <w:sz w:val="22"/>
                <w:szCs w:val="22"/>
              </w:rPr>
              <w:t>2017 Public Health guidance on take-home naloxone</w:t>
            </w:r>
            <w:r w:rsidR="00CE1695" w:rsidRPr="000C1DAB">
              <w:rPr>
                <w:rStyle w:val="FootnoteReference"/>
                <w:sz w:val="22"/>
                <w:szCs w:val="22"/>
              </w:rPr>
              <w:footnoteReference w:id="3"/>
            </w:r>
            <w:r w:rsidR="00820CF5" w:rsidRPr="000C1DAB">
              <w:rPr>
                <w:sz w:val="22"/>
                <w:szCs w:val="22"/>
              </w:rPr>
              <w:t xml:space="preserve"> </w:t>
            </w:r>
            <w:r w:rsidR="00820CF5" w:rsidRPr="00CE1695">
              <w:rPr>
                <w:sz w:val="22"/>
                <w:szCs w:val="22"/>
              </w:rPr>
              <w:t>highlights</w:t>
            </w:r>
            <w:r w:rsidR="00F93895" w:rsidRPr="00CE1695">
              <w:rPr>
                <w:sz w:val="22"/>
                <w:szCs w:val="22"/>
              </w:rPr>
              <w:t xml:space="preserve"> that pre-provision of naloxone to heroin users can be helpful in reversing heroin overdoses</w:t>
            </w:r>
            <w:r w:rsidR="00820CF5" w:rsidRPr="00CE1695">
              <w:rPr>
                <w:sz w:val="22"/>
                <w:szCs w:val="22"/>
              </w:rPr>
              <w:t>; t</w:t>
            </w:r>
            <w:r w:rsidR="00F93895" w:rsidRPr="00CE1695">
              <w:rPr>
                <w:sz w:val="22"/>
                <w:szCs w:val="22"/>
              </w:rPr>
              <w:t xml:space="preserve">here is also evidence for the effectiveness of training family members or peers </w:t>
            </w:r>
            <w:r w:rsidR="00607E6C">
              <w:rPr>
                <w:sz w:val="22"/>
                <w:szCs w:val="22"/>
              </w:rPr>
              <w:t>o</w:t>
            </w:r>
            <w:r w:rsidR="00F93895" w:rsidRPr="00CE1695">
              <w:rPr>
                <w:sz w:val="22"/>
                <w:szCs w:val="22"/>
              </w:rPr>
              <w:t>n how to administer the drug</w:t>
            </w:r>
            <w:r w:rsidR="00C137B3" w:rsidRPr="00CE1695">
              <w:rPr>
                <w:sz w:val="22"/>
                <w:szCs w:val="22"/>
              </w:rPr>
              <w:t>. Local authorities can prevent premature deaths from heroin and other opioid use by ensuring naloxone is widely available</w:t>
            </w:r>
            <w:r w:rsidR="00254B98">
              <w:rPr>
                <w:sz w:val="22"/>
                <w:szCs w:val="22"/>
              </w:rPr>
              <w:t>, particularly in th</w:t>
            </w:r>
            <w:r w:rsidR="00FC78BF">
              <w:rPr>
                <w:sz w:val="22"/>
                <w:szCs w:val="22"/>
              </w:rPr>
              <w:t>e</w:t>
            </w:r>
            <w:r w:rsidR="00254B98">
              <w:rPr>
                <w:sz w:val="22"/>
                <w:szCs w:val="22"/>
              </w:rPr>
              <w:t xml:space="preserve"> wake of the rising emergence of synthetic opioids </w:t>
            </w:r>
            <w:r w:rsidR="00FC78BF">
              <w:rPr>
                <w:sz w:val="22"/>
                <w:szCs w:val="22"/>
              </w:rPr>
              <w:t xml:space="preserve">in the UK that are </w:t>
            </w:r>
            <w:r w:rsidR="00254B98">
              <w:rPr>
                <w:sz w:val="22"/>
                <w:szCs w:val="22"/>
              </w:rPr>
              <w:t xml:space="preserve">significantly more toxic than heroin </w:t>
            </w:r>
            <w:r w:rsidR="00FC78BF">
              <w:rPr>
                <w:sz w:val="22"/>
                <w:szCs w:val="22"/>
              </w:rPr>
              <w:t>and</w:t>
            </w:r>
            <w:r w:rsidR="00254B98">
              <w:rPr>
                <w:sz w:val="22"/>
                <w:szCs w:val="22"/>
              </w:rPr>
              <w:t xml:space="preserve"> pose a </w:t>
            </w:r>
            <w:r w:rsidR="00FC78BF">
              <w:rPr>
                <w:sz w:val="22"/>
                <w:szCs w:val="22"/>
              </w:rPr>
              <w:t>great</w:t>
            </w:r>
            <w:r w:rsidR="00254B98">
              <w:rPr>
                <w:sz w:val="22"/>
                <w:szCs w:val="22"/>
              </w:rPr>
              <w:t>er risk of accidental overdose.</w:t>
            </w:r>
            <w:r w:rsidR="003667BA">
              <w:rPr>
                <w:sz w:val="22"/>
                <w:szCs w:val="22"/>
              </w:rPr>
              <w:t xml:space="preserve"> These synthetic opioids </w:t>
            </w:r>
            <w:r w:rsidR="00FC78BF">
              <w:rPr>
                <w:sz w:val="22"/>
                <w:szCs w:val="22"/>
              </w:rPr>
              <w:t>have been reported to</w:t>
            </w:r>
            <w:r w:rsidR="003667BA">
              <w:rPr>
                <w:sz w:val="22"/>
                <w:szCs w:val="22"/>
              </w:rPr>
              <w:t xml:space="preserve"> be unwittingly added to </w:t>
            </w:r>
            <w:r w:rsidR="00026AE0">
              <w:rPr>
                <w:sz w:val="22"/>
                <w:szCs w:val="22"/>
              </w:rPr>
              <w:t>‘</w:t>
            </w:r>
            <w:r w:rsidR="003667BA">
              <w:rPr>
                <w:sz w:val="22"/>
                <w:szCs w:val="22"/>
              </w:rPr>
              <w:t>street</w:t>
            </w:r>
            <w:r w:rsidR="00026AE0">
              <w:rPr>
                <w:sz w:val="22"/>
                <w:szCs w:val="22"/>
              </w:rPr>
              <w:t>’</w:t>
            </w:r>
            <w:r w:rsidR="003667BA">
              <w:rPr>
                <w:sz w:val="22"/>
                <w:szCs w:val="22"/>
              </w:rPr>
              <w:t xml:space="preserve"> heroin and even occasionally </w:t>
            </w:r>
            <w:r w:rsidR="00FC78BF">
              <w:rPr>
                <w:sz w:val="22"/>
                <w:szCs w:val="22"/>
              </w:rPr>
              <w:t>to</w:t>
            </w:r>
            <w:r w:rsidR="003667BA">
              <w:rPr>
                <w:sz w:val="22"/>
                <w:szCs w:val="22"/>
              </w:rPr>
              <w:t xml:space="preserve"> non-opioid drugs like cocaine, benzodiazepines, and synthetic cannabinoids.</w:t>
            </w:r>
            <w:r w:rsidR="00026AE0">
              <w:rPr>
                <w:sz w:val="22"/>
                <w:szCs w:val="22"/>
              </w:rPr>
              <w:t xml:space="preserve"> </w:t>
            </w:r>
            <w:r w:rsidR="00026AE0" w:rsidRPr="00026AE0">
              <w:rPr>
                <w:sz w:val="22"/>
                <w:szCs w:val="22"/>
              </w:rPr>
              <w:t xml:space="preserve">Evidence indicates </w:t>
            </w:r>
            <w:r w:rsidR="00CE49EF" w:rsidRPr="00CE49EF">
              <w:rPr>
                <w:sz w:val="22"/>
                <w:szCs w:val="22"/>
              </w:rPr>
              <w:t xml:space="preserve">that naloxone antagonises the effects of </w:t>
            </w:r>
            <w:r w:rsidR="00CE49EF">
              <w:rPr>
                <w:sz w:val="22"/>
                <w:szCs w:val="22"/>
              </w:rPr>
              <w:t>these synthetic opioids</w:t>
            </w:r>
            <w:r w:rsidR="00CE49EF" w:rsidRPr="00CE49EF">
              <w:rPr>
                <w:sz w:val="22"/>
                <w:szCs w:val="22"/>
              </w:rPr>
              <w:t xml:space="preserve"> as it does with established opioids</w:t>
            </w:r>
            <w:r w:rsidR="00026AE0" w:rsidRPr="00026AE0">
              <w:rPr>
                <w:sz w:val="22"/>
                <w:szCs w:val="22"/>
              </w:rPr>
              <w:t xml:space="preserve">, </w:t>
            </w:r>
            <w:r w:rsidR="00CE49EF">
              <w:rPr>
                <w:sz w:val="22"/>
                <w:szCs w:val="22"/>
              </w:rPr>
              <w:t>al</w:t>
            </w:r>
            <w:r w:rsidR="00026AE0" w:rsidRPr="00026AE0">
              <w:rPr>
                <w:sz w:val="22"/>
                <w:szCs w:val="22"/>
              </w:rPr>
              <w:t>though in some cases, repeated doses are needed to reverse the effects.</w:t>
            </w:r>
          </w:p>
          <w:p w14:paraId="2E1CCF49" w14:textId="2248DE7E" w:rsidR="00C137B3" w:rsidRPr="00CE1695" w:rsidRDefault="00C137B3" w:rsidP="00935B8D">
            <w:pPr>
              <w:suppressAutoHyphens w:val="0"/>
              <w:contextualSpacing/>
              <w:rPr>
                <w:color w:val="FF0000"/>
                <w:sz w:val="22"/>
                <w:szCs w:val="22"/>
              </w:rPr>
            </w:pPr>
          </w:p>
          <w:p w14:paraId="432E1591" w14:textId="515ACF90" w:rsidR="00AB62B8" w:rsidRPr="00CE1695" w:rsidRDefault="00C137B3" w:rsidP="00935B8D">
            <w:pPr>
              <w:suppressAutoHyphens w:val="0"/>
              <w:contextualSpacing/>
              <w:rPr>
                <w:i/>
                <w:iCs/>
                <w:sz w:val="22"/>
                <w:szCs w:val="22"/>
              </w:rPr>
            </w:pPr>
            <w:r w:rsidRPr="00CE1695">
              <w:rPr>
                <w:sz w:val="22"/>
                <w:szCs w:val="22"/>
              </w:rPr>
              <w:t>Naloxone is a prescription-only medicine, so there are controls on who can legally supply naloxone</w:t>
            </w:r>
            <w:r w:rsidR="00440872">
              <w:rPr>
                <w:sz w:val="22"/>
                <w:szCs w:val="22"/>
              </w:rPr>
              <w:t>. H</w:t>
            </w:r>
            <w:r w:rsidR="00AB62B8" w:rsidRPr="00CE1695">
              <w:rPr>
                <w:sz w:val="22"/>
                <w:szCs w:val="22"/>
              </w:rPr>
              <w:t>owever,</w:t>
            </w:r>
            <w:r w:rsidRPr="00CE1695">
              <w:rPr>
                <w:sz w:val="22"/>
                <w:szCs w:val="22"/>
              </w:rPr>
              <w:t xml:space="preserve"> anyone is permitted </w:t>
            </w:r>
            <w:r w:rsidR="00AB62B8" w:rsidRPr="00CE1695">
              <w:rPr>
                <w:sz w:val="22"/>
                <w:szCs w:val="22"/>
              </w:rPr>
              <w:t xml:space="preserve">to administer naloxone to another individual in order to save their life in an emergency. </w:t>
            </w:r>
            <w:r w:rsidR="009F243A">
              <w:rPr>
                <w:sz w:val="22"/>
                <w:szCs w:val="22"/>
              </w:rPr>
              <w:t>Under current regulations, people working in or for ‘d</w:t>
            </w:r>
            <w:r w:rsidR="00961235" w:rsidRPr="00CE1695">
              <w:rPr>
                <w:sz w:val="22"/>
                <w:szCs w:val="22"/>
              </w:rPr>
              <w:t>rug treatment services</w:t>
            </w:r>
            <w:r w:rsidR="009F243A">
              <w:rPr>
                <w:sz w:val="22"/>
                <w:szCs w:val="22"/>
              </w:rPr>
              <w:t>’</w:t>
            </w:r>
            <w:r w:rsidR="00961235" w:rsidRPr="00CE1695">
              <w:rPr>
                <w:sz w:val="22"/>
                <w:szCs w:val="22"/>
              </w:rPr>
              <w:t xml:space="preserve"> can</w:t>
            </w:r>
            <w:r w:rsidR="009F243A">
              <w:rPr>
                <w:sz w:val="22"/>
                <w:szCs w:val="22"/>
              </w:rPr>
              <w:t>, as part of their role,</w:t>
            </w:r>
            <w:r w:rsidR="00961235" w:rsidRPr="00CE1695">
              <w:rPr>
                <w:sz w:val="22"/>
                <w:szCs w:val="22"/>
              </w:rPr>
              <w:t xml:space="preserve"> supply naloxone without the need for a prescription or </w:t>
            </w:r>
            <w:r w:rsidR="0082741F" w:rsidRPr="00CE1695">
              <w:rPr>
                <w:sz w:val="22"/>
                <w:szCs w:val="22"/>
              </w:rPr>
              <w:t>other written instruction</w:t>
            </w:r>
            <w:r w:rsidR="00961235" w:rsidRPr="00CE1695">
              <w:rPr>
                <w:sz w:val="22"/>
                <w:szCs w:val="22"/>
              </w:rPr>
              <w:t>.</w:t>
            </w:r>
            <w:r w:rsidR="0082741F" w:rsidRPr="00CE1695">
              <w:rPr>
                <w:sz w:val="22"/>
                <w:szCs w:val="22"/>
              </w:rPr>
              <w:t xml:space="preserve"> </w:t>
            </w:r>
            <w:r w:rsidR="009F243A">
              <w:rPr>
                <w:sz w:val="22"/>
                <w:szCs w:val="22"/>
              </w:rPr>
              <w:t>The</w:t>
            </w:r>
            <w:r w:rsidR="009F243A" w:rsidRPr="00CE1695">
              <w:rPr>
                <w:sz w:val="22"/>
                <w:szCs w:val="22"/>
              </w:rPr>
              <w:t xml:space="preserve"> </w:t>
            </w:r>
            <w:r w:rsidR="001E767F" w:rsidRPr="00CE1695">
              <w:rPr>
                <w:sz w:val="22"/>
                <w:szCs w:val="22"/>
              </w:rPr>
              <w:t xml:space="preserve">regulations define drug treatment services as </w:t>
            </w:r>
            <w:r w:rsidR="001E767F" w:rsidRPr="009F243A">
              <w:rPr>
                <w:sz w:val="22"/>
                <w:szCs w:val="22"/>
              </w:rPr>
              <w:t xml:space="preserve">those </w:t>
            </w:r>
            <w:r w:rsidR="001E767F" w:rsidRPr="000C1DAB">
              <w:rPr>
                <w:sz w:val="22"/>
                <w:szCs w:val="22"/>
              </w:rPr>
              <w:t>provided by, on behalf of, or under arrangements made by, one of the following bodies:</w:t>
            </w:r>
          </w:p>
          <w:p w14:paraId="02EC731E" w14:textId="29B105B8" w:rsidR="001E767F" w:rsidRPr="00CE1695" w:rsidRDefault="001E767F" w:rsidP="001E767F">
            <w:pPr>
              <w:pStyle w:val="ListParagraph"/>
              <w:numPr>
                <w:ilvl w:val="0"/>
                <w:numId w:val="8"/>
              </w:numPr>
              <w:suppressAutoHyphens w:val="0"/>
              <w:contextualSpacing/>
              <w:rPr>
                <w:sz w:val="22"/>
                <w:szCs w:val="22"/>
              </w:rPr>
            </w:pPr>
            <w:r w:rsidRPr="00CE1695">
              <w:rPr>
                <w:sz w:val="22"/>
                <w:szCs w:val="22"/>
              </w:rPr>
              <w:t>An NHS body</w:t>
            </w:r>
          </w:p>
          <w:p w14:paraId="0FEDC703" w14:textId="7AFB6C38" w:rsidR="001E767F" w:rsidRPr="00CE1695" w:rsidRDefault="001E767F" w:rsidP="001E767F">
            <w:pPr>
              <w:pStyle w:val="ListParagraph"/>
              <w:numPr>
                <w:ilvl w:val="0"/>
                <w:numId w:val="8"/>
              </w:numPr>
              <w:suppressAutoHyphens w:val="0"/>
              <w:contextualSpacing/>
              <w:rPr>
                <w:sz w:val="22"/>
                <w:szCs w:val="22"/>
              </w:rPr>
            </w:pPr>
            <w:r w:rsidRPr="00CE1695">
              <w:rPr>
                <w:sz w:val="22"/>
                <w:szCs w:val="22"/>
              </w:rPr>
              <w:t>A local authority</w:t>
            </w:r>
          </w:p>
          <w:p w14:paraId="1A73A771" w14:textId="2704E1CE" w:rsidR="001E767F" w:rsidRPr="00CE1695" w:rsidRDefault="001E767F" w:rsidP="001E767F">
            <w:pPr>
              <w:pStyle w:val="ListParagraph"/>
              <w:numPr>
                <w:ilvl w:val="0"/>
                <w:numId w:val="8"/>
              </w:numPr>
              <w:suppressAutoHyphens w:val="0"/>
              <w:contextualSpacing/>
              <w:rPr>
                <w:sz w:val="22"/>
                <w:szCs w:val="22"/>
              </w:rPr>
            </w:pPr>
            <w:r w:rsidRPr="00CE1695">
              <w:rPr>
                <w:sz w:val="22"/>
                <w:szCs w:val="22"/>
              </w:rPr>
              <w:lastRenderedPageBreak/>
              <w:t>Public Health England (PHE)</w:t>
            </w:r>
          </w:p>
          <w:p w14:paraId="015768F1" w14:textId="34DCF088" w:rsidR="001E767F" w:rsidRPr="00CE1695" w:rsidRDefault="001E767F" w:rsidP="001E767F">
            <w:pPr>
              <w:pStyle w:val="ListParagraph"/>
              <w:numPr>
                <w:ilvl w:val="0"/>
                <w:numId w:val="8"/>
              </w:numPr>
              <w:suppressAutoHyphens w:val="0"/>
              <w:contextualSpacing/>
              <w:rPr>
                <w:sz w:val="22"/>
                <w:szCs w:val="22"/>
              </w:rPr>
            </w:pPr>
            <w:r w:rsidRPr="00CE1695">
              <w:rPr>
                <w:sz w:val="22"/>
                <w:szCs w:val="22"/>
              </w:rPr>
              <w:t>Public Health Agency (Northern Ireland)</w:t>
            </w:r>
          </w:p>
          <w:p w14:paraId="1B0458BE" w14:textId="111A4B40" w:rsidR="00D85C9F" w:rsidRPr="00CE1695" w:rsidRDefault="00D85C9F" w:rsidP="00D85C9F">
            <w:pPr>
              <w:suppressAutoHyphens w:val="0"/>
              <w:contextualSpacing/>
              <w:rPr>
                <w:i/>
                <w:iCs/>
                <w:sz w:val="22"/>
                <w:szCs w:val="22"/>
              </w:rPr>
            </w:pPr>
          </w:p>
          <w:p w14:paraId="38C5A0F4" w14:textId="463DD8C5" w:rsidR="00D85C9F" w:rsidRPr="00CE1695" w:rsidRDefault="00D85C9F" w:rsidP="00D85C9F">
            <w:pPr>
              <w:suppressAutoHyphens w:val="0"/>
              <w:contextualSpacing/>
              <w:rPr>
                <w:sz w:val="22"/>
                <w:szCs w:val="22"/>
              </w:rPr>
            </w:pPr>
            <w:r w:rsidRPr="00CE1695">
              <w:rPr>
                <w:sz w:val="22"/>
                <w:szCs w:val="22"/>
              </w:rPr>
              <w:t xml:space="preserve">The types of drug treatment services that can supply naloxone include, but are not limited to, pharmacies providing drug treatment such as opioid substitution treatment through supervised consumption and pharmacies providing needle exchange </w:t>
            </w:r>
            <w:r w:rsidR="008018AC" w:rsidRPr="00CE1695">
              <w:rPr>
                <w:sz w:val="22"/>
                <w:szCs w:val="22"/>
              </w:rPr>
              <w:t>programmes</w:t>
            </w:r>
            <w:r w:rsidR="008018AC">
              <w:rPr>
                <w:sz w:val="22"/>
                <w:szCs w:val="22"/>
              </w:rPr>
              <w:t xml:space="preserve"> if</w:t>
            </w:r>
            <w:r w:rsidRPr="00CE1695">
              <w:rPr>
                <w:sz w:val="22"/>
                <w:szCs w:val="22"/>
              </w:rPr>
              <w:t xml:space="preserve"> they are commissioned by a local authority or the NHS.</w:t>
            </w:r>
          </w:p>
          <w:p w14:paraId="64E62C1B" w14:textId="6D36FF9E" w:rsidR="00517220" w:rsidRPr="00CE1695" w:rsidRDefault="00517220" w:rsidP="00D85C9F">
            <w:pPr>
              <w:suppressAutoHyphens w:val="0"/>
              <w:contextualSpacing/>
              <w:rPr>
                <w:sz w:val="22"/>
                <w:szCs w:val="22"/>
              </w:rPr>
            </w:pPr>
          </w:p>
          <w:p w14:paraId="4A877483" w14:textId="7823C371" w:rsidR="00A9206D" w:rsidRPr="00CE1695" w:rsidRDefault="00517220" w:rsidP="00A117F5">
            <w:pPr>
              <w:suppressAutoHyphens w:val="0"/>
              <w:contextualSpacing/>
              <w:rPr>
                <w:sz w:val="22"/>
                <w:szCs w:val="22"/>
              </w:rPr>
            </w:pPr>
            <w:r w:rsidRPr="00CE1695">
              <w:rPr>
                <w:sz w:val="22"/>
                <w:szCs w:val="22"/>
              </w:rPr>
              <w:t xml:space="preserve">There are many advantages to pharmacies being able to supply naloxone, particularly as a core group of people who use drugs will visit pharmacies to access </w:t>
            </w:r>
            <w:r w:rsidR="006F3009">
              <w:rPr>
                <w:sz w:val="22"/>
                <w:szCs w:val="22"/>
              </w:rPr>
              <w:t xml:space="preserve">their </w:t>
            </w:r>
            <w:r w:rsidRPr="00CE1695">
              <w:rPr>
                <w:sz w:val="22"/>
                <w:szCs w:val="22"/>
              </w:rPr>
              <w:t>services. Pharmacies are a key provider of naloxone in several regions of England, with 3</w:t>
            </w:r>
            <w:r w:rsidR="0082741F" w:rsidRPr="00CE1695">
              <w:rPr>
                <w:sz w:val="22"/>
                <w:szCs w:val="22"/>
              </w:rPr>
              <w:t>,</w:t>
            </w:r>
            <w:r w:rsidRPr="00CE1695">
              <w:rPr>
                <w:sz w:val="22"/>
                <w:szCs w:val="22"/>
              </w:rPr>
              <w:t>768 naloxone kits supplied since 2015</w:t>
            </w:r>
            <w:r w:rsidR="0082741F" w:rsidRPr="00CE1695">
              <w:rPr>
                <w:sz w:val="22"/>
                <w:szCs w:val="22"/>
              </w:rPr>
              <w:t>. A</w:t>
            </w:r>
            <w:r w:rsidRPr="00CE1695">
              <w:rPr>
                <w:sz w:val="22"/>
                <w:szCs w:val="22"/>
              </w:rPr>
              <w:t xml:space="preserve"> total of 717 (19%) </w:t>
            </w:r>
            <w:r w:rsidR="00A117F5" w:rsidRPr="00CE1695">
              <w:rPr>
                <w:sz w:val="22"/>
                <w:szCs w:val="22"/>
              </w:rPr>
              <w:t>kits supplied by pharmacies have been administered in an overdose situation, compared with 4% provided by drug treatment services – this suggests that, in some parts of England, pharmacies are reaching those encountering overdose situations more often than drug treatment services</w:t>
            </w:r>
            <w:r w:rsidR="00A117F5" w:rsidRPr="00CE1695">
              <w:rPr>
                <w:sz w:val="22"/>
                <w:szCs w:val="22"/>
                <w:vertAlign w:val="superscript"/>
              </w:rPr>
              <w:footnoteReference w:id="4"/>
            </w:r>
            <w:r w:rsidR="00A117F5" w:rsidRPr="00CE1695">
              <w:rPr>
                <w:sz w:val="22"/>
                <w:szCs w:val="22"/>
              </w:rPr>
              <w:t>.</w:t>
            </w:r>
          </w:p>
          <w:p w14:paraId="6150126C" w14:textId="0DEFE351" w:rsidR="001E767F" w:rsidRPr="00CE1695" w:rsidRDefault="001E767F" w:rsidP="00935B8D">
            <w:pPr>
              <w:suppressAutoHyphens w:val="0"/>
              <w:jc w:val="left"/>
              <w:rPr>
                <w:rFonts w:cs="Arial"/>
                <w:b/>
                <w:sz w:val="22"/>
                <w:szCs w:val="22"/>
              </w:rPr>
            </w:pPr>
          </w:p>
          <w:p w14:paraId="498D9F0E" w14:textId="77777777" w:rsidR="00A9206D" w:rsidRPr="00CE1695" w:rsidRDefault="00A9206D" w:rsidP="00935B8D">
            <w:pPr>
              <w:suppressAutoHyphens w:val="0"/>
              <w:rPr>
                <w:rFonts w:cs="Arial"/>
                <w:b/>
                <w:sz w:val="22"/>
                <w:szCs w:val="22"/>
                <w:lang w:val="en" w:eastAsia="en-GB"/>
              </w:rPr>
            </w:pPr>
            <w:r w:rsidRPr="00CE1695">
              <w:rPr>
                <w:rFonts w:cs="Arial"/>
                <w:b/>
                <w:sz w:val="22"/>
                <w:szCs w:val="22"/>
                <w:lang w:val="en" w:eastAsia="en-GB"/>
              </w:rPr>
              <w:t>1.2 Local Context</w:t>
            </w:r>
          </w:p>
          <w:p w14:paraId="2F8BFA95" w14:textId="77777777" w:rsidR="002B4EAA" w:rsidRDefault="00614011" w:rsidP="00614011">
            <w:pPr>
              <w:suppressAutoHyphens w:val="0"/>
              <w:rPr>
                <w:rFonts w:cs="Arial"/>
                <w:sz w:val="22"/>
                <w:szCs w:val="22"/>
                <w:lang w:eastAsia="en-GB"/>
              </w:rPr>
            </w:pPr>
            <w:r w:rsidRPr="00614011">
              <w:rPr>
                <w:rFonts w:cs="Arial"/>
                <w:sz w:val="22"/>
                <w:szCs w:val="22"/>
                <w:lang w:eastAsia="en-GB"/>
              </w:rPr>
              <w:t>In Oxfordshire, 39 deaths related to drug poisoning were registered in 2022, this is higher than the number recorded in 2021 (25 deaths) and slightly lower than in 2021 (42 deaths). More than half (64.1%) of the drug poisoning deaths registered in 2022 were identified as drug misuse.</w:t>
            </w:r>
            <w:r w:rsidR="002B4EAA">
              <w:rPr>
                <w:rFonts w:cs="Arial"/>
                <w:sz w:val="22"/>
                <w:szCs w:val="22"/>
                <w:lang w:eastAsia="en-GB"/>
              </w:rPr>
              <w:t xml:space="preserve"> </w:t>
            </w:r>
          </w:p>
          <w:p w14:paraId="5FAB18D0" w14:textId="77777777" w:rsidR="002B4EAA" w:rsidRDefault="002B4EAA" w:rsidP="00614011">
            <w:pPr>
              <w:suppressAutoHyphens w:val="0"/>
              <w:rPr>
                <w:rFonts w:cs="Arial"/>
                <w:sz w:val="22"/>
                <w:szCs w:val="22"/>
                <w:lang w:eastAsia="en-GB"/>
              </w:rPr>
            </w:pPr>
          </w:p>
          <w:p w14:paraId="0159BB45" w14:textId="070BBC9B" w:rsidR="00614011" w:rsidRPr="002B4EAA" w:rsidRDefault="002B4EAA" w:rsidP="00614011">
            <w:pPr>
              <w:suppressAutoHyphens w:val="0"/>
              <w:rPr>
                <w:rFonts w:cs="Arial"/>
                <w:sz w:val="22"/>
                <w:szCs w:val="22"/>
                <w:lang w:eastAsia="en-GB"/>
              </w:rPr>
            </w:pPr>
            <w:r>
              <w:rPr>
                <w:rFonts w:cs="Arial"/>
                <w:sz w:val="22"/>
                <w:szCs w:val="22"/>
                <w:lang w:eastAsia="en-GB"/>
              </w:rPr>
              <w:t xml:space="preserve">During 2021-2022, there were 22 deaths that occurred in Oxfordshire which involved an opiate or opioid; this was 37.5% higher than in the previous year. The potent synthetic opioid </w:t>
            </w:r>
            <w:proofErr w:type="spellStart"/>
            <w:r>
              <w:rPr>
                <w:rFonts w:cs="Arial"/>
                <w:i/>
                <w:iCs/>
                <w:sz w:val="22"/>
                <w:szCs w:val="22"/>
                <w:lang w:eastAsia="en-GB"/>
              </w:rPr>
              <w:t>isotonitazene</w:t>
            </w:r>
            <w:proofErr w:type="spellEnd"/>
            <w:r>
              <w:rPr>
                <w:rFonts w:cs="Arial"/>
                <w:i/>
                <w:iCs/>
                <w:sz w:val="22"/>
                <w:szCs w:val="22"/>
                <w:lang w:eastAsia="en-GB"/>
              </w:rPr>
              <w:t xml:space="preserve"> </w:t>
            </w:r>
            <w:r>
              <w:rPr>
                <w:rFonts w:cs="Arial"/>
                <w:sz w:val="22"/>
                <w:szCs w:val="22"/>
                <w:lang w:eastAsia="en-GB"/>
              </w:rPr>
              <w:t xml:space="preserve">was sighted as a contributory substance </w:t>
            </w:r>
            <w:r w:rsidR="00AC2847">
              <w:rPr>
                <w:rFonts w:cs="Arial"/>
                <w:sz w:val="22"/>
                <w:szCs w:val="22"/>
                <w:lang w:eastAsia="en-GB"/>
              </w:rPr>
              <w:t>in more than a quarter (27.3%) of these opioid-related deaths.</w:t>
            </w:r>
          </w:p>
          <w:p w14:paraId="57D3AECE" w14:textId="4DB1D455" w:rsidR="00C70ABF" w:rsidRDefault="00C70ABF" w:rsidP="00935B8D">
            <w:pPr>
              <w:suppressAutoHyphens w:val="0"/>
              <w:rPr>
                <w:rFonts w:cs="Arial"/>
                <w:sz w:val="22"/>
                <w:szCs w:val="22"/>
                <w:lang w:val="en" w:eastAsia="en-GB"/>
              </w:rPr>
            </w:pPr>
            <w:r>
              <w:rPr>
                <w:rFonts w:cs="Arial"/>
                <w:sz w:val="22"/>
                <w:szCs w:val="22"/>
                <w:lang w:val="en" w:eastAsia="en-GB"/>
              </w:rPr>
              <w:t>T</w:t>
            </w:r>
            <w:r w:rsidR="005D0E94" w:rsidRPr="00CE1695">
              <w:rPr>
                <w:rFonts w:cs="Arial"/>
                <w:sz w:val="22"/>
                <w:szCs w:val="22"/>
                <w:lang w:val="en" w:eastAsia="en-GB"/>
              </w:rPr>
              <w:t xml:space="preserve">he </w:t>
            </w:r>
            <w:r>
              <w:rPr>
                <w:rFonts w:cs="Arial"/>
                <w:sz w:val="22"/>
                <w:szCs w:val="22"/>
                <w:lang w:val="en" w:eastAsia="en-GB"/>
              </w:rPr>
              <w:t xml:space="preserve">Oxfordshire </w:t>
            </w:r>
            <w:r w:rsidR="000208AA" w:rsidRPr="00CE1695">
              <w:rPr>
                <w:rFonts w:cs="Arial"/>
                <w:sz w:val="22"/>
                <w:szCs w:val="22"/>
                <w:lang w:val="en" w:eastAsia="en-GB"/>
              </w:rPr>
              <w:t xml:space="preserve">Community Alcohol and Drug </w:t>
            </w:r>
            <w:r w:rsidR="00614011">
              <w:rPr>
                <w:rFonts w:cs="Arial"/>
                <w:sz w:val="22"/>
                <w:szCs w:val="22"/>
                <w:lang w:val="en" w:eastAsia="en-GB"/>
              </w:rPr>
              <w:t xml:space="preserve">(CAD) </w:t>
            </w:r>
            <w:r w:rsidR="000208AA" w:rsidRPr="00CE1695">
              <w:rPr>
                <w:rFonts w:cs="Arial"/>
                <w:sz w:val="22"/>
                <w:szCs w:val="22"/>
                <w:lang w:val="en" w:eastAsia="en-GB"/>
              </w:rPr>
              <w:t>Service</w:t>
            </w:r>
            <w:r w:rsidR="005D0E94" w:rsidRPr="00CE1695">
              <w:rPr>
                <w:rFonts w:cs="Arial"/>
                <w:sz w:val="22"/>
                <w:szCs w:val="22"/>
                <w:lang w:val="en" w:eastAsia="en-GB"/>
              </w:rPr>
              <w:t xml:space="preserve">, currently provided by Turning Point, provides naloxone </w:t>
            </w:r>
            <w:r w:rsidR="000152BD">
              <w:rPr>
                <w:rFonts w:cs="Arial"/>
                <w:sz w:val="22"/>
                <w:szCs w:val="22"/>
                <w:lang w:val="en" w:eastAsia="en-GB"/>
              </w:rPr>
              <w:t xml:space="preserve">kits </w:t>
            </w:r>
            <w:r w:rsidR="005D0E94" w:rsidRPr="00CE1695">
              <w:rPr>
                <w:rFonts w:cs="Arial"/>
                <w:sz w:val="22"/>
                <w:szCs w:val="22"/>
                <w:lang w:val="en" w:eastAsia="en-GB"/>
              </w:rPr>
              <w:t xml:space="preserve">and training on </w:t>
            </w:r>
            <w:r w:rsidR="000152BD">
              <w:rPr>
                <w:rFonts w:cs="Arial"/>
                <w:sz w:val="22"/>
                <w:szCs w:val="22"/>
                <w:lang w:val="en" w:eastAsia="en-GB"/>
              </w:rPr>
              <w:t xml:space="preserve">their </w:t>
            </w:r>
            <w:r w:rsidR="005D0E94" w:rsidRPr="00CE1695">
              <w:rPr>
                <w:rFonts w:cs="Arial"/>
                <w:sz w:val="22"/>
                <w:szCs w:val="22"/>
                <w:lang w:val="en" w:eastAsia="en-GB"/>
              </w:rPr>
              <w:t>use</w:t>
            </w:r>
            <w:r w:rsidR="000208AA" w:rsidRPr="00CE1695">
              <w:rPr>
                <w:rFonts w:cs="Arial"/>
                <w:sz w:val="22"/>
                <w:szCs w:val="22"/>
                <w:lang w:val="en" w:eastAsia="en-GB"/>
              </w:rPr>
              <w:t xml:space="preserve"> to people who use the service</w:t>
            </w:r>
            <w:r w:rsidR="005D0E94" w:rsidRPr="00CE1695">
              <w:rPr>
                <w:rFonts w:cs="Arial"/>
                <w:sz w:val="22"/>
                <w:szCs w:val="22"/>
                <w:lang w:val="en" w:eastAsia="en-GB"/>
              </w:rPr>
              <w:t>, their famil</w:t>
            </w:r>
            <w:r w:rsidR="004C4FE1" w:rsidRPr="00CE1695">
              <w:rPr>
                <w:rFonts w:cs="Arial"/>
                <w:sz w:val="22"/>
                <w:szCs w:val="22"/>
                <w:lang w:val="en" w:eastAsia="en-GB"/>
              </w:rPr>
              <w:t>ies</w:t>
            </w:r>
            <w:r w:rsidR="009F243A">
              <w:rPr>
                <w:rFonts w:cs="Arial"/>
                <w:sz w:val="22"/>
                <w:szCs w:val="22"/>
                <w:lang w:val="en" w:eastAsia="en-GB"/>
              </w:rPr>
              <w:t>,</w:t>
            </w:r>
            <w:r w:rsidR="005D0E94" w:rsidRPr="00CE1695">
              <w:rPr>
                <w:rFonts w:cs="Arial"/>
                <w:sz w:val="22"/>
                <w:szCs w:val="22"/>
                <w:lang w:val="en" w:eastAsia="en-GB"/>
              </w:rPr>
              <w:t xml:space="preserve"> and carer</w:t>
            </w:r>
            <w:r w:rsidR="009F243A">
              <w:rPr>
                <w:rFonts w:cs="Arial"/>
                <w:sz w:val="22"/>
                <w:szCs w:val="22"/>
                <w:lang w:val="en" w:eastAsia="en-GB"/>
              </w:rPr>
              <w:t>s/</w:t>
            </w:r>
            <w:r w:rsidR="005D0E94" w:rsidRPr="00CE1695">
              <w:rPr>
                <w:rFonts w:cs="Arial"/>
                <w:sz w:val="22"/>
                <w:szCs w:val="22"/>
                <w:lang w:val="en" w:eastAsia="en-GB"/>
              </w:rPr>
              <w:t xml:space="preserve"> </w:t>
            </w:r>
            <w:r w:rsidR="00301AB6">
              <w:rPr>
                <w:rFonts w:cs="Arial"/>
                <w:sz w:val="22"/>
                <w:szCs w:val="22"/>
                <w:lang w:val="en" w:eastAsia="en-GB"/>
              </w:rPr>
              <w:t xml:space="preserve">and a wide range of </w:t>
            </w:r>
            <w:r w:rsidR="005D0E94" w:rsidRPr="00CE1695">
              <w:rPr>
                <w:rFonts w:cs="Arial"/>
                <w:sz w:val="22"/>
                <w:szCs w:val="22"/>
                <w:lang w:val="en" w:eastAsia="en-GB"/>
              </w:rPr>
              <w:t>professionals who work with them</w:t>
            </w:r>
            <w:r w:rsidR="00B170CA" w:rsidRPr="00CE1695">
              <w:rPr>
                <w:rFonts w:cs="Arial"/>
                <w:sz w:val="22"/>
                <w:szCs w:val="22"/>
                <w:lang w:val="en" w:eastAsia="en-GB"/>
              </w:rPr>
              <w:t>.</w:t>
            </w:r>
            <w:r w:rsidR="00E1525F">
              <w:rPr>
                <w:rFonts w:cs="Arial"/>
                <w:sz w:val="22"/>
                <w:szCs w:val="22"/>
                <w:lang w:val="en" w:eastAsia="en-GB"/>
              </w:rPr>
              <w:t xml:space="preserve"> </w:t>
            </w:r>
            <w:r w:rsidR="00614011">
              <w:rPr>
                <w:rFonts w:cs="Arial"/>
                <w:sz w:val="22"/>
                <w:szCs w:val="22"/>
                <w:lang w:val="en" w:eastAsia="en-GB"/>
              </w:rPr>
              <w:t>The CAD Service plays a crucial role in maintaining drug-related deaths at a relatively low level by supplying naloxone to at-risk individuals who use the service. There is, however, a need to ensure that at-risk individuals who are not in contact with the CAD Service have access to naloxone.</w:t>
            </w:r>
          </w:p>
          <w:p w14:paraId="529FD176" w14:textId="77777777" w:rsidR="00301AB6" w:rsidRDefault="00301AB6" w:rsidP="00935B8D">
            <w:pPr>
              <w:suppressAutoHyphens w:val="0"/>
              <w:rPr>
                <w:rFonts w:cs="Arial"/>
                <w:sz w:val="22"/>
                <w:szCs w:val="22"/>
                <w:lang w:val="en" w:eastAsia="en-GB"/>
              </w:rPr>
            </w:pPr>
          </w:p>
          <w:p w14:paraId="1C3D6E91" w14:textId="11805D72" w:rsidR="000208AA" w:rsidRPr="00CE1695" w:rsidRDefault="00614011" w:rsidP="00935B8D">
            <w:pPr>
              <w:suppressAutoHyphens w:val="0"/>
              <w:rPr>
                <w:rFonts w:cs="Arial"/>
                <w:sz w:val="22"/>
                <w:szCs w:val="22"/>
                <w:lang w:val="en" w:eastAsia="en-GB"/>
              </w:rPr>
            </w:pPr>
            <w:r>
              <w:rPr>
                <w:rFonts w:cs="Arial"/>
                <w:sz w:val="22"/>
                <w:szCs w:val="22"/>
                <w:lang w:val="en" w:eastAsia="en-GB"/>
              </w:rPr>
              <w:t xml:space="preserve">Oxfordshire County Council, in collaboration with local authorities in Buckinghamshire, Berkshire, Hampshire and Milton Keynes, </w:t>
            </w:r>
            <w:r w:rsidR="0031360E">
              <w:rPr>
                <w:rFonts w:cs="Arial"/>
                <w:sz w:val="22"/>
                <w:szCs w:val="22"/>
                <w:lang w:val="en" w:eastAsia="en-GB"/>
              </w:rPr>
              <w:t xml:space="preserve">initiated </w:t>
            </w:r>
            <w:r>
              <w:rPr>
                <w:rFonts w:cs="Arial"/>
                <w:sz w:val="22"/>
                <w:szCs w:val="22"/>
                <w:lang w:val="en" w:eastAsia="en-GB"/>
              </w:rPr>
              <w:t>a take-home naloxone pilot programme in July 2023 delivered by South Central Ambulance Service (SCAS). The programme supplies take-home naloxone to individuals at risk of an opioid overdose or their family/friends/carers that are attended during relevant ambulance callouts</w:t>
            </w:r>
            <w:r w:rsidR="0031360E">
              <w:rPr>
                <w:rFonts w:cs="Arial"/>
                <w:sz w:val="22"/>
                <w:szCs w:val="22"/>
                <w:lang w:val="en" w:eastAsia="en-GB"/>
              </w:rPr>
              <w:t xml:space="preserve">. The </w:t>
            </w:r>
            <w:r w:rsidR="00C70ABF">
              <w:rPr>
                <w:rFonts w:cs="Arial"/>
                <w:sz w:val="22"/>
                <w:szCs w:val="22"/>
                <w:lang w:val="en" w:eastAsia="en-GB"/>
              </w:rPr>
              <w:t>programme</w:t>
            </w:r>
            <w:r w:rsidR="0031360E">
              <w:rPr>
                <w:rFonts w:cs="Arial"/>
                <w:sz w:val="22"/>
                <w:szCs w:val="22"/>
                <w:lang w:val="en" w:eastAsia="en-GB"/>
              </w:rPr>
              <w:t xml:space="preserve"> </w:t>
            </w:r>
            <w:r w:rsidR="00C70ABF">
              <w:rPr>
                <w:rFonts w:cs="Arial"/>
                <w:sz w:val="22"/>
                <w:szCs w:val="22"/>
                <w:lang w:val="en" w:eastAsia="en-GB"/>
              </w:rPr>
              <w:t xml:space="preserve">is offered within the </w:t>
            </w:r>
            <w:r w:rsidR="0031360E">
              <w:rPr>
                <w:rFonts w:cs="Arial"/>
                <w:sz w:val="22"/>
                <w:szCs w:val="22"/>
                <w:lang w:val="en" w:eastAsia="en-GB"/>
              </w:rPr>
              <w:t xml:space="preserve">geographical </w:t>
            </w:r>
            <w:r w:rsidR="00C70ABF">
              <w:rPr>
                <w:rFonts w:cs="Arial"/>
                <w:sz w:val="22"/>
                <w:szCs w:val="22"/>
                <w:lang w:val="en" w:eastAsia="en-GB"/>
              </w:rPr>
              <w:t>area covered by SCAS</w:t>
            </w:r>
            <w:r w:rsidR="0031360E">
              <w:rPr>
                <w:rFonts w:cs="Arial"/>
                <w:sz w:val="22"/>
                <w:szCs w:val="22"/>
                <w:lang w:val="en" w:eastAsia="en-GB"/>
              </w:rPr>
              <w:t xml:space="preserve"> i.e.,</w:t>
            </w:r>
            <w:r w:rsidR="00C70ABF">
              <w:rPr>
                <w:rFonts w:cs="Arial"/>
                <w:sz w:val="22"/>
                <w:szCs w:val="22"/>
                <w:lang w:val="en" w:eastAsia="en-GB"/>
              </w:rPr>
              <w:t xml:space="preserve"> </w:t>
            </w:r>
            <w:r w:rsidR="0031360E">
              <w:rPr>
                <w:rFonts w:cs="Arial"/>
                <w:sz w:val="22"/>
                <w:szCs w:val="22"/>
                <w:lang w:val="en" w:eastAsia="en-GB"/>
              </w:rPr>
              <w:t>Oxfordshire, Buckinghamshire, Hampshire, Berkshire</w:t>
            </w:r>
            <w:r w:rsidR="00C70ABF">
              <w:rPr>
                <w:rFonts w:cs="Arial"/>
                <w:sz w:val="22"/>
                <w:szCs w:val="22"/>
                <w:lang w:val="en" w:eastAsia="en-GB"/>
              </w:rPr>
              <w:t>,</w:t>
            </w:r>
            <w:r w:rsidR="0031360E">
              <w:rPr>
                <w:rFonts w:cs="Arial"/>
                <w:sz w:val="22"/>
                <w:szCs w:val="22"/>
                <w:lang w:val="en" w:eastAsia="en-GB"/>
              </w:rPr>
              <w:t xml:space="preserve"> and Milton Keynes.</w:t>
            </w:r>
          </w:p>
          <w:p w14:paraId="5A85FBAC" w14:textId="77777777" w:rsidR="00B170CA" w:rsidRPr="00CE1695" w:rsidRDefault="00B170CA" w:rsidP="00935B8D">
            <w:pPr>
              <w:suppressAutoHyphens w:val="0"/>
              <w:rPr>
                <w:rFonts w:cs="Arial"/>
                <w:sz w:val="22"/>
                <w:szCs w:val="22"/>
                <w:lang w:val="en" w:eastAsia="en-GB"/>
              </w:rPr>
            </w:pPr>
          </w:p>
          <w:p w14:paraId="16F780A1" w14:textId="39F61F9C" w:rsidR="00B170CA" w:rsidRPr="00CE1695" w:rsidRDefault="00B170CA" w:rsidP="00B170CA">
            <w:pPr>
              <w:suppressAutoHyphens w:val="0"/>
              <w:rPr>
                <w:rFonts w:cs="Arial"/>
                <w:sz w:val="22"/>
                <w:szCs w:val="22"/>
                <w:lang w:val="en" w:eastAsia="en-GB"/>
              </w:rPr>
            </w:pPr>
            <w:r w:rsidRPr="00CE1695">
              <w:rPr>
                <w:rFonts w:cs="Arial"/>
                <w:sz w:val="22"/>
                <w:szCs w:val="22"/>
                <w:lang w:val="en" w:eastAsia="en-GB"/>
              </w:rPr>
              <w:t xml:space="preserve">Oxfordshire County Council currently commissions </w:t>
            </w:r>
            <w:r w:rsidR="00942CBB">
              <w:rPr>
                <w:rFonts w:cs="Arial"/>
                <w:sz w:val="22"/>
                <w:szCs w:val="22"/>
                <w:lang w:val="en" w:eastAsia="en-GB"/>
              </w:rPr>
              <w:t>50</w:t>
            </w:r>
            <w:r w:rsidRPr="00CE1695">
              <w:rPr>
                <w:rFonts w:cs="Arial"/>
                <w:sz w:val="22"/>
                <w:szCs w:val="22"/>
                <w:lang w:val="en" w:eastAsia="en-GB"/>
              </w:rPr>
              <w:t xml:space="preserve"> pharmacy sites across Oxfordshire to deliver Supervised Consumption and/or Needle Exchange </w:t>
            </w:r>
            <w:r w:rsidR="00CE49EF">
              <w:rPr>
                <w:rFonts w:cs="Arial"/>
                <w:sz w:val="22"/>
                <w:szCs w:val="22"/>
                <w:lang w:val="en" w:eastAsia="en-GB"/>
              </w:rPr>
              <w:t>S</w:t>
            </w:r>
            <w:r w:rsidRPr="00CE1695">
              <w:rPr>
                <w:rFonts w:cs="Arial"/>
                <w:sz w:val="22"/>
                <w:szCs w:val="22"/>
                <w:lang w:val="en" w:eastAsia="en-GB"/>
              </w:rPr>
              <w:t>ervices under the Dynamic Approved Provider List (DAPL) Framework Agreement.</w:t>
            </w:r>
            <w:r w:rsidR="007A7267" w:rsidRPr="00CE1695">
              <w:rPr>
                <w:rFonts w:cs="Arial"/>
                <w:sz w:val="22"/>
                <w:szCs w:val="22"/>
                <w:lang w:val="en" w:eastAsia="en-GB"/>
              </w:rPr>
              <w:t xml:space="preserve"> These pharmacies are eligible to supply naloxone and training on its use under current regulations and can therefore supplement </w:t>
            </w:r>
            <w:r w:rsidR="001B591F" w:rsidRPr="00CE1695">
              <w:rPr>
                <w:rFonts w:cs="Arial"/>
                <w:sz w:val="22"/>
                <w:szCs w:val="22"/>
                <w:lang w:val="en" w:eastAsia="en-GB"/>
              </w:rPr>
              <w:t xml:space="preserve">naloxone provision across Oxfordshire, </w:t>
            </w:r>
            <w:r w:rsidR="00301AB6">
              <w:rPr>
                <w:rFonts w:cs="Arial"/>
                <w:sz w:val="22"/>
                <w:szCs w:val="22"/>
                <w:lang w:val="en" w:eastAsia="en-GB"/>
              </w:rPr>
              <w:t>with the necessary contractual arrangements put in place,</w:t>
            </w:r>
            <w:r w:rsidR="00301AB6" w:rsidRPr="00CE1695">
              <w:rPr>
                <w:rFonts w:cs="Arial"/>
                <w:sz w:val="22"/>
                <w:szCs w:val="22"/>
                <w:lang w:val="en" w:eastAsia="en-GB"/>
              </w:rPr>
              <w:t xml:space="preserve"> </w:t>
            </w:r>
            <w:r w:rsidR="001B591F" w:rsidRPr="00CE1695">
              <w:rPr>
                <w:rFonts w:cs="Arial"/>
                <w:sz w:val="22"/>
                <w:szCs w:val="22"/>
                <w:lang w:val="en" w:eastAsia="en-GB"/>
              </w:rPr>
              <w:t>particularly for people not in contact with Turning Point service</w:t>
            </w:r>
            <w:r w:rsidR="00D112AD" w:rsidRPr="00CE1695">
              <w:rPr>
                <w:rFonts w:cs="Arial"/>
                <w:sz w:val="22"/>
                <w:szCs w:val="22"/>
                <w:lang w:val="en" w:eastAsia="en-GB"/>
              </w:rPr>
              <w:t>.</w:t>
            </w:r>
          </w:p>
          <w:p w14:paraId="48993095" w14:textId="77777777" w:rsidR="00A117F5" w:rsidRPr="00CE1695" w:rsidRDefault="00A117F5" w:rsidP="00935B8D">
            <w:pPr>
              <w:suppressAutoHyphens w:val="0"/>
              <w:rPr>
                <w:rFonts w:cs="Arial"/>
                <w:sz w:val="22"/>
                <w:szCs w:val="22"/>
                <w:lang w:val="en" w:eastAsia="en-GB"/>
              </w:rPr>
            </w:pPr>
          </w:p>
          <w:p w14:paraId="117890D0" w14:textId="6154EEBA" w:rsidR="00A9206D" w:rsidRPr="00CE1695" w:rsidRDefault="00A9206D" w:rsidP="00AC4C16">
            <w:pPr>
              <w:pStyle w:val="ListParagraph"/>
              <w:widowControl w:val="0"/>
              <w:numPr>
                <w:ilvl w:val="1"/>
                <w:numId w:val="7"/>
              </w:numPr>
              <w:suppressAutoHyphens w:val="0"/>
              <w:rPr>
                <w:rFonts w:cs="Arial"/>
                <w:bCs/>
                <w:sz w:val="22"/>
                <w:szCs w:val="22"/>
                <w:lang w:eastAsia="en-GB"/>
              </w:rPr>
            </w:pPr>
            <w:r w:rsidRPr="00CE1695">
              <w:rPr>
                <w:rFonts w:cs="Arial"/>
                <w:b/>
                <w:sz w:val="22"/>
                <w:szCs w:val="22"/>
                <w:lang w:eastAsia="en-GB"/>
              </w:rPr>
              <w:t>Social Value Considerations</w:t>
            </w:r>
          </w:p>
          <w:p w14:paraId="228CF399" w14:textId="70B8454F" w:rsidR="001B591F" w:rsidRPr="00CE1695" w:rsidRDefault="001B591F" w:rsidP="00A9206D">
            <w:pPr>
              <w:widowControl w:val="0"/>
              <w:suppressAutoHyphens w:val="0"/>
              <w:rPr>
                <w:rFonts w:cs="Arial"/>
                <w:bCs/>
                <w:sz w:val="22"/>
                <w:szCs w:val="22"/>
                <w:lang w:eastAsia="en-GB"/>
              </w:rPr>
            </w:pPr>
            <w:r w:rsidRPr="00CE1695">
              <w:rPr>
                <w:rFonts w:cs="Arial"/>
                <w:bCs/>
                <w:sz w:val="22"/>
                <w:szCs w:val="22"/>
                <w:lang w:eastAsia="en-GB"/>
              </w:rPr>
              <w:t xml:space="preserve">The provision of take-home naloxone </w:t>
            </w:r>
            <w:r w:rsidR="00D112AD" w:rsidRPr="00CE1695">
              <w:rPr>
                <w:rFonts w:cs="Arial"/>
                <w:bCs/>
                <w:sz w:val="22"/>
                <w:szCs w:val="22"/>
                <w:lang w:eastAsia="en-GB"/>
              </w:rPr>
              <w:t>via community pharmacies addresses priorities that disproportionately affect socially disadvantaged communities in Oxfordshire</w:t>
            </w:r>
            <w:r w:rsidR="004C4FE1" w:rsidRPr="00CE1695">
              <w:rPr>
                <w:rFonts w:cs="Arial"/>
                <w:bCs/>
                <w:sz w:val="22"/>
                <w:szCs w:val="22"/>
                <w:lang w:eastAsia="en-GB"/>
              </w:rPr>
              <w:t>.</w:t>
            </w:r>
            <w:r w:rsidR="00D112AD" w:rsidRPr="00CE1695">
              <w:rPr>
                <w:rFonts w:cs="Arial"/>
                <w:bCs/>
                <w:sz w:val="22"/>
                <w:szCs w:val="22"/>
                <w:lang w:eastAsia="en-GB"/>
              </w:rPr>
              <w:t xml:space="preserve"> </w:t>
            </w:r>
            <w:r w:rsidR="004C4FE1" w:rsidRPr="00CE1695">
              <w:rPr>
                <w:rFonts w:cs="Arial"/>
                <w:bCs/>
                <w:sz w:val="22"/>
                <w:szCs w:val="22"/>
                <w:lang w:eastAsia="en-GB"/>
              </w:rPr>
              <w:t>T</w:t>
            </w:r>
            <w:r w:rsidR="00D112AD" w:rsidRPr="00CE1695">
              <w:rPr>
                <w:rFonts w:cs="Arial"/>
                <w:bCs/>
                <w:sz w:val="22"/>
                <w:szCs w:val="22"/>
                <w:lang w:eastAsia="en-GB"/>
              </w:rPr>
              <w:t xml:space="preserve">hese include reduction of </w:t>
            </w:r>
            <w:r w:rsidR="004C4FE1" w:rsidRPr="00CE1695">
              <w:rPr>
                <w:rFonts w:cs="Arial"/>
                <w:bCs/>
                <w:sz w:val="22"/>
                <w:szCs w:val="22"/>
                <w:lang w:eastAsia="en-GB"/>
              </w:rPr>
              <w:t xml:space="preserve">drug-related </w:t>
            </w:r>
            <w:r w:rsidR="00077BD1" w:rsidRPr="00CE1695">
              <w:rPr>
                <w:rFonts w:cs="Arial"/>
                <w:bCs/>
                <w:sz w:val="22"/>
                <w:szCs w:val="22"/>
                <w:lang w:eastAsia="en-GB"/>
              </w:rPr>
              <w:t>deaths and</w:t>
            </w:r>
            <w:r w:rsidR="00D112AD" w:rsidRPr="00CE1695">
              <w:rPr>
                <w:rFonts w:cs="Arial"/>
                <w:bCs/>
                <w:sz w:val="22"/>
                <w:szCs w:val="22"/>
                <w:lang w:eastAsia="en-GB"/>
              </w:rPr>
              <w:t xml:space="preserve"> supporting individuals to reduce the harms caused to themselves, their families</w:t>
            </w:r>
            <w:r w:rsidR="008D0EC7" w:rsidRPr="00CE1695">
              <w:rPr>
                <w:rFonts w:cs="Arial"/>
                <w:bCs/>
                <w:sz w:val="22"/>
                <w:szCs w:val="22"/>
                <w:lang w:eastAsia="en-GB"/>
              </w:rPr>
              <w:t>,</w:t>
            </w:r>
            <w:r w:rsidR="00D112AD" w:rsidRPr="00CE1695">
              <w:rPr>
                <w:rFonts w:cs="Arial"/>
                <w:bCs/>
                <w:sz w:val="22"/>
                <w:szCs w:val="22"/>
                <w:lang w:eastAsia="en-GB"/>
              </w:rPr>
              <w:t xml:space="preserve"> and the wider community</w:t>
            </w:r>
            <w:r w:rsidR="008D0EC7" w:rsidRPr="00CE1695">
              <w:rPr>
                <w:rFonts w:cs="Arial"/>
                <w:bCs/>
                <w:sz w:val="22"/>
                <w:szCs w:val="22"/>
                <w:lang w:eastAsia="en-GB"/>
              </w:rPr>
              <w:t>. Th</w:t>
            </w:r>
            <w:r w:rsidR="0082741F" w:rsidRPr="00CE1695">
              <w:rPr>
                <w:rFonts w:cs="Arial"/>
                <w:bCs/>
                <w:sz w:val="22"/>
                <w:szCs w:val="22"/>
                <w:lang w:eastAsia="en-GB"/>
              </w:rPr>
              <w:t>is</w:t>
            </w:r>
            <w:r w:rsidR="008D0EC7" w:rsidRPr="00CE1695">
              <w:rPr>
                <w:rFonts w:cs="Arial"/>
                <w:bCs/>
                <w:sz w:val="22"/>
                <w:szCs w:val="22"/>
                <w:lang w:eastAsia="en-GB"/>
              </w:rPr>
              <w:t xml:space="preserve"> programme also raises awareness of opioid overdose management</w:t>
            </w:r>
            <w:r w:rsidR="00E1525F">
              <w:rPr>
                <w:rFonts w:cs="Arial"/>
                <w:bCs/>
                <w:sz w:val="22"/>
                <w:szCs w:val="22"/>
                <w:lang w:eastAsia="en-GB"/>
              </w:rPr>
              <w:t>, and harm reduction</w:t>
            </w:r>
            <w:r w:rsidR="008D0EC7" w:rsidRPr="00CE1695">
              <w:rPr>
                <w:rFonts w:cs="Arial"/>
                <w:bCs/>
                <w:sz w:val="22"/>
                <w:szCs w:val="22"/>
                <w:lang w:eastAsia="en-GB"/>
              </w:rPr>
              <w:t xml:space="preserve"> and drug treatment service</w:t>
            </w:r>
            <w:r w:rsidR="00E1525F">
              <w:rPr>
                <w:rFonts w:cs="Arial"/>
                <w:bCs/>
                <w:sz w:val="22"/>
                <w:szCs w:val="22"/>
                <w:lang w:eastAsia="en-GB"/>
              </w:rPr>
              <w:t>s</w:t>
            </w:r>
            <w:r w:rsidR="008D0EC7" w:rsidRPr="00CE1695">
              <w:rPr>
                <w:rFonts w:cs="Arial"/>
                <w:bCs/>
                <w:sz w:val="22"/>
                <w:szCs w:val="22"/>
                <w:lang w:eastAsia="en-GB"/>
              </w:rPr>
              <w:t>.</w:t>
            </w:r>
          </w:p>
          <w:p w14:paraId="3501B19F" w14:textId="77777777" w:rsidR="001B591F" w:rsidRPr="00CE1695" w:rsidRDefault="001B591F" w:rsidP="008D0C02">
            <w:pPr>
              <w:widowControl w:val="0"/>
              <w:suppressAutoHyphens w:val="0"/>
              <w:rPr>
                <w:rFonts w:cs="Arial"/>
                <w:bCs/>
                <w:sz w:val="22"/>
                <w:szCs w:val="22"/>
                <w:lang w:eastAsia="en-GB"/>
              </w:rPr>
            </w:pPr>
          </w:p>
        </w:tc>
      </w:tr>
      <w:tr w:rsidR="00A9206D" w:rsidRPr="00CE1695" w14:paraId="2EAFF956" w14:textId="77777777" w:rsidTr="00935B8D">
        <w:tc>
          <w:tcPr>
            <w:tcW w:w="9923" w:type="dxa"/>
            <w:tcBorders>
              <w:top w:val="single" w:sz="4" w:space="0" w:color="999999"/>
              <w:left w:val="single" w:sz="4" w:space="0" w:color="999999"/>
              <w:bottom w:val="single" w:sz="4" w:space="0" w:color="999999"/>
              <w:right w:val="single" w:sz="4" w:space="0" w:color="999999"/>
            </w:tcBorders>
            <w:shd w:val="clear" w:color="auto" w:fill="D9D9D9"/>
          </w:tcPr>
          <w:p w14:paraId="577BC83A" w14:textId="77777777" w:rsidR="00A9206D" w:rsidRPr="00CE1695" w:rsidRDefault="00A9206D" w:rsidP="00935B8D">
            <w:pPr>
              <w:suppressAutoHyphens w:val="0"/>
              <w:rPr>
                <w:rFonts w:eastAsia="MS ??" w:cs="Arial"/>
                <w:b/>
                <w:color w:val="FFFFFF"/>
                <w:sz w:val="22"/>
                <w:szCs w:val="22"/>
              </w:rPr>
            </w:pPr>
          </w:p>
          <w:p w14:paraId="42BD3AC7" w14:textId="52FD15BB" w:rsidR="00A9206D" w:rsidRPr="00CE1695" w:rsidRDefault="00A9206D" w:rsidP="00935B8D">
            <w:pPr>
              <w:suppressAutoHyphens w:val="0"/>
              <w:rPr>
                <w:rFonts w:eastAsia="MS ??" w:cs="Arial"/>
                <w:b/>
                <w:sz w:val="22"/>
                <w:szCs w:val="22"/>
              </w:rPr>
            </w:pPr>
            <w:r w:rsidRPr="00CE1695">
              <w:rPr>
                <w:rFonts w:eastAsia="MS ??" w:cs="Arial"/>
                <w:b/>
                <w:sz w:val="22"/>
                <w:szCs w:val="22"/>
              </w:rPr>
              <w:t xml:space="preserve">2. </w:t>
            </w:r>
            <w:r w:rsidR="00586FBC" w:rsidRPr="00CE1695">
              <w:rPr>
                <w:rFonts w:eastAsia="MS ??" w:cs="Arial"/>
                <w:b/>
                <w:sz w:val="22"/>
                <w:szCs w:val="22"/>
              </w:rPr>
              <w:t>Scope</w:t>
            </w:r>
          </w:p>
          <w:p w14:paraId="7084B8BC" w14:textId="77777777" w:rsidR="00A9206D" w:rsidRPr="00CE1695" w:rsidRDefault="00A9206D" w:rsidP="00935B8D">
            <w:pPr>
              <w:suppressAutoHyphens w:val="0"/>
              <w:rPr>
                <w:rFonts w:eastAsia="MS ??" w:cs="Arial"/>
                <w:b/>
                <w:color w:val="FFFFFF"/>
                <w:sz w:val="22"/>
                <w:szCs w:val="22"/>
                <w:u w:val="single"/>
              </w:rPr>
            </w:pPr>
          </w:p>
        </w:tc>
      </w:tr>
      <w:tr w:rsidR="00A9206D" w:rsidRPr="00CE1695" w14:paraId="743A8470" w14:textId="77777777" w:rsidTr="00935B8D">
        <w:tc>
          <w:tcPr>
            <w:tcW w:w="9923" w:type="dxa"/>
            <w:tcBorders>
              <w:top w:val="single" w:sz="4" w:space="0" w:color="999999"/>
              <w:left w:val="single" w:sz="4" w:space="0" w:color="999999"/>
              <w:bottom w:val="single" w:sz="4" w:space="0" w:color="999999"/>
              <w:right w:val="single" w:sz="4" w:space="0" w:color="999999"/>
            </w:tcBorders>
          </w:tcPr>
          <w:p w14:paraId="2FFD2798" w14:textId="77777777" w:rsidR="00A9206D" w:rsidRPr="00CE1695" w:rsidRDefault="00A9206D" w:rsidP="00935B8D">
            <w:pPr>
              <w:rPr>
                <w:rFonts w:cs="Arial"/>
                <w:b/>
                <w:bCs/>
                <w:color w:val="000000" w:themeColor="text1"/>
                <w:sz w:val="22"/>
                <w:szCs w:val="22"/>
              </w:rPr>
            </w:pPr>
          </w:p>
          <w:p w14:paraId="1DE4B369" w14:textId="77777777" w:rsidR="00A9206D" w:rsidRPr="00CE1695" w:rsidRDefault="00A9206D" w:rsidP="00935B8D">
            <w:pPr>
              <w:rPr>
                <w:rFonts w:cs="Arial"/>
                <w:b/>
                <w:bCs/>
                <w:color w:val="000000" w:themeColor="text1"/>
                <w:sz w:val="22"/>
                <w:szCs w:val="22"/>
              </w:rPr>
            </w:pPr>
            <w:r w:rsidRPr="00CE1695">
              <w:rPr>
                <w:rFonts w:cs="Arial"/>
                <w:b/>
                <w:bCs/>
                <w:color w:val="000000" w:themeColor="text1"/>
                <w:sz w:val="22"/>
                <w:szCs w:val="22"/>
              </w:rPr>
              <w:t>2.1 Service Aims</w:t>
            </w:r>
          </w:p>
          <w:p w14:paraId="69C377AB" w14:textId="61C5FD59" w:rsidR="00A9206D" w:rsidRPr="00CE1695" w:rsidRDefault="00D20B63" w:rsidP="00935B8D">
            <w:pPr>
              <w:autoSpaceDE w:val="0"/>
              <w:autoSpaceDN w:val="0"/>
              <w:spacing w:before="40" w:after="40"/>
              <w:rPr>
                <w:rFonts w:cs="Arial"/>
                <w:sz w:val="22"/>
                <w:szCs w:val="22"/>
              </w:rPr>
            </w:pPr>
            <w:r w:rsidRPr="00CE1695">
              <w:rPr>
                <w:rFonts w:cs="Arial"/>
                <w:sz w:val="22"/>
                <w:szCs w:val="22"/>
              </w:rPr>
              <w:t xml:space="preserve">The </w:t>
            </w:r>
            <w:r w:rsidR="00A9206D" w:rsidRPr="00CE1695">
              <w:rPr>
                <w:rFonts w:cs="Arial"/>
                <w:sz w:val="22"/>
                <w:szCs w:val="22"/>
              </w:rPr>
              <w:t xml:space="preserve">aim of the </w:t>
            </w:r>
            <w:r w:rsidRPr="00CE1695">
              <w:rPr>
                <w:rFonts w:cs="Arial"/>
                <w:sz w:val="22"/>
                <w:szCs w:val="22"/>
              </w:rPr>
              <w:t xml:space="preserve">Pharmacy </w:t>
            </w:r>
            <w:r w:rsidR="00F22B04" w:rsidRPr="00CE1695">
              <w:rPr>
                <w:rFonts w:cs="Arial"/>
                <w:sz w:val="22"/>
                <w:szCs w:val="22"/>
              </w:rPr>
              <w:t>T</w:t>
            </w:r>
            <w:r w:rsidR="00B94C8A" w:rsidRPr="00CE1695">
              <w:rPr>
                <w:rFonts w:cs="Arial"/>
                <w:sz w:val="22"/>
                <w:szCs w:val="22"/>
              </w:rPr>
              <w:t>ake-</w:t>
            </w:r>
            <w:r w:rsidR="00F22B04" w:rsidRPr="00CE1695">
              <w:rPr>
                <w:rFonts w:cs="Arial"/>
                <w:sz w:val="22"/>
                <w:szCs w:val="22"/>
              </w:rPr>
              <w:t>H</w:t>
            </w:r>
            <w:r w:rsidR="00B94C8A" w:rsidRPr="00CE1695">
              <w:rPr>
                <w:rFonts w:cs="Arial"/>
                <w:sz w:val="22"/>
                <w:szCs w:val="22"/>
              </w:rPr>
              <w:t xml:space="preserve">ome </w:t>
            </w:r>
            <w:r w:rsidR="00F22B04" w:rsidRPr="00CE1695">
              <w:rPr>
                <w:rFonts w:cs="Arial"/>
                <w:sz w:val="22"/>
                <w:szCs w:val="22"/>
              </w:rPr>
              <w:t>N</w:t>
            </w:r>
            <w:r w:rsidR="00B94C8A" w:rsidRPr="00CE1695">
              <w:rPr>
                <w:rFonts w:cs="Arial"/>
                <w:sz w:val="22"/>
                <w:szCs w:val="22"/>
              </w:rPr>
              <w:t xml:space="preserve">aloxone (THN) pilot programme </w:t>
            </w:r>
            <w:r w:rsidR="00A9206D" w:rsidRPr="00CE1695">
              <w:rPr>
                <w:rFonts w:cs="Arial"/>
                <w:sz w:val="22"/>
                <w:szCs w:val="22"/>
              </w:rPr>
              <w:t xml:space="preserve">is </w:t>
            </w:r>
            <w:r w:rsidR="00B94C8A" w:rsidRPr="00CE1695">
              <w:rPr>
                <w:rFonts w:cs="Arial"/>
                <w:sz w:val="22"/>
                <w:szCs w:val="22"/>
              </w:rPr>
              <w:t xml:space="preserve">to </w:t>
            </w:r>
            <w:r w:rsidR="00A9206D" w:rsidRPr="00CE1695">
              <w:rPr>
                <w:rFonts w:cs="Arial"/>
                <w:sz w:val="22"/>
                <w:szCs w:val="22"/>
              </w:rPr>
              <w:t>provide a harm reduction intervention which:</w:t>
            </w:r>
          </w:p>
          <w:p w14:paraId="6755CBA4" w14:textId="6F7956DF" w:rsidR="008D0C02" w:rsidRPr="00CE1695" w:rsidRDefault="008D0C02" w:rsidP="008D0C02">
            <w:pPr>
              <w:pStyle w:val="ListParagraph"/>
              <w:numPr>
                <w:ilvl w:val="0"/>
                <w:numId w:val="14"/>
              </w:numPr>
              <w:autoSpaceDE w:val="0"/>
              <w:autoSpaceDN w:val="0"/>
              <w:spacing w:before="40" w:after="40"/>
              <w:rPr>
                <w:rFonts w:cs="Arial"/>
                <w:color w:val="000000"/>
                <w:sz w:val="22"/>
                <w:szCs w:val="22"/>
              </w:rPr>
            </w:pPr>
            <w:r w:rsidRPr="00CE1695">
              <w:rPr>
                <w:rFonts w:cs="Arial"/>
                <w:color w:val="000000"/>
                <w:sz w:val="22"/>
                <w:szCs w:val="22"/>
              </w:rPr>
              <w:t xml:space="preserve">Widens the availability of naloxone, particularly </w:t>
            </w:r>
            <w:r w:rsidR="00492B28">
              <w:rPr>
                <w:rFonts w:cs="Arial"/>
                <w:color w:val="000000"/>
                <w:sz w:val="22"/>
                <w:szCs w:val="22"/>
              </w:rPr>
              <w:t>for</w:t>
            </w:r>
            <w:r w:rsidRPr="00CE1695">
              <w:rPr>
                <w:rFonts w:cs="Arial"/>
                <w:color w:val="000000"/>
                <w:sz w:val="22"/>
                <w:szCs w:val="22"/>
              </w:rPr>
              <w:t xml:space="preserve"> people not already engaged with treatment services,</w:t>
            </w:r>
          </w:p>
          <w:p w14:paraId="1383CC0C" w14:textId="6847E98C" w:rsidR="002412AB" w:rsidRPr="00CE1695" w:rsidRDefault="002412AB" w:rsidP="009379C4">
            <w:pPr>
              <w:pStyle w:val="ListParagraph"/>
              <w:numPr>
                <w:ilvl w:val="0"/>
                <w:numId w:val="14"/>
              </w:numPr>
              <w:autoSpaceDE w:val="0"/>
              <w:autoSpaceDN w:val="0"/>
              <w:spacing w:before="40" w:after="40"/>
              <w:rPr>
                <w:rFonts w:cs="Arial"/>
                <w:color w:val="000000"/>
                <w:sz w:val="22"/>
                <w:szCs w:val="22"/>
              </w:rPr>
            </w:pPr>
            <w:r w:rsidRPr="00CE1695">
              <w:rPr>
                <w:rFonts w:cs="Arial"/>
                <w:color w:val="000000"/>
                <w:sz w:val="22"/>
                <w:szCs w:val="22"/>
              </w:rPr>
              <w:t xml:space="preserve">Increases </w:t>
            </w:r>
            <w:r w:rsidR="006F3009">
              <w:rPr>
                <w:rFonts w:cs="Arial"/>
                <w:color w:val="000000"/>
                <w:sz w:val="22"/>
                <w:szCs w:val="22"/>
              </w:rPr>
              <w:t>understanding of overdose risks</w:t>
            </w:r>
            <w:r w:rsidRPr="00CE1695">
              <w:rPr>
                <w:rFonts w:cs="Arial"/>
                <w:color w:val="000000"/>
                <w:sz w:val="22"/>
                <w:szCs w:val="22"/>
              </w:rPr>
              <w:t>, appropriately informing people about harm reduction and the benefits of naloxone,</w:t>
            </w:r>
          </w:p>
          <w:p w14:paraId="42411501" w14:textId="484FA265" w:rsidR="007A4C05" w:rsidRPr="00CE1695" w:rsidRDefault="007A4C05" w:rsidP="009379C4">
            <w:pPr>
              <w:pStyle w:val="ListParagraph"/>
              <w:numPr>
                <w:ilvl w:val="0"/>
                <w:numId w:val="14"/>
              </w:numPr>
              <w:autoSpaceDE w:val="0"/>
              <w:autoSpaceDN w:val="0"/>
              <w:spacing w:before="40" w:after="40"/>
              <w:rPr>
                <w:rFonts w:cs="Arial"/>
                <w:color w:val="000000"/>
                <w:sz w:val="22"/>
                <w:szCs w:val="22"/>
              </w:rPr>
            </w:pPr>
            <w:r w:rsidRPr="00CE1695">
              <w:rPr>
                <w:rFonts w:cs="Arial"/>
                <w:color w:val="000000"/>
                <w:sz w:val="22"/>
                <w:szCs w:val="22"/>
              </w:rPr>
              <w:t>Reduces the number of opi</w:t>
            </w:r>
            <w:r w:rsidR="009E6420" w:rsidRPr="00CE1695">
              <w:rPr>
                <w:rFonts w:cs="Arial"/>
                <w:color w:val="000000"/>
                <w:sz w:val="22"/>
                <w:szCs w:val="22"/>
              </w:rPr>
              <w:t>oid overdose</w:t>
            </w:r>
            <w:r w:rsidRPr="00CE1695">
              <w:rPr>
                <w:rFonts w:cs="Arial"/>
                <w:color w:val="000000"/>
                <w:sz w:val="22"/>
                <w:szCs w:val="22"/>
              </w:rPr>
              <w:t xml:space="preserve"> deaths,</w:t>
            </w:r>
          </w:p>
          <w:p w14:paraId="09A61EE3" w14:textId="11A6DE84" w:rsidR="007A4C05" w:rsidRPr="00CE1695" w:rsidRDefault="007A4C05" w:rsidP="00AC4C16">
            <w:pPr>
              <w:pStyle w:val="ListParagraph"/>
              <w:numPr>
                <w:ilvl w:val="0"/>
                <w:numId w:val="14"/>
              </w:numPr>
              <w:autoSpaceDE w:val="0"/>
              <w:autoSpaceDN w:val="0"/>
              <w:spacing w:before="40" w:after="40"/>
              <w:rPr>
                <w:rFonts w:cs="Arial"/>
                <w:color w:val="000000"/>
                <w:sz w:val="22"/>
                <w:szCs w:val="22"/>
              </w:rPr>
            </w:pPr>
            <w:r w:rsidRPr="00CE1695">
              <w:rPr>
                <w:rFonts w:cs="Arial"/>
                <w:color w:val="000000"/>
                <w:sz w:val="22"/>
                <w:szCs w:val="22"/>
              </w:rPr>
              <w:t xml:space="preserve">Acts as a gateway to other services such as drug treatment and other </w:t>
            </w:r>
            <w:r w:rsidR="00E1525F">
              <w:rPr>
                <w:rFonts w:cs="Arial"/>
                <w:color w:val="000000"/>
                <w:sz w:val="22"/>
                <w:szCs w:val="22"/>
              </w:rPr>
              <w:t>P</w:t>
            </w:r>
            <w:r w:rsidRPr="00CE1695">
              <w:rPr>
                <w:rFonts w:cs="Arial"/>
                <w:color w:val="000000"/>
                <w:sz w:val="22"/>
                <w:szCs w:val="22"/>
              </w:rPr>
              <w:t xml:space="preserve">ublic </w:t>
            </w:r>
            <w:r w:rsidR="00E1525F">
              <w:rPr>
                <w:rFonts w:cs="Arial"/>
                <w:color w:val="000000"/>
                <w:sz w:val="22"/>
                <w:szCs w:val="22"/>
              </w:rPr>
              <w:t>H</w:t>
            </w:r>
            <w:r w:rsidRPr="00CE1695">
              <w:rPr>
                <w:rFonts w:cs="Arial"/>
                <w:color w:val="000000"/>
                <w:sz w:val="22"/>
                <w:szCs w:val="22"/>
              </w:rPr>
              <w:t xml:space="preserve">ealth services, including facilitating referral </w:t>
            </w:r>
            <w:r w:rsidR="0031360E">
              <w:rPr>
                <w:rFonts w:cs="Arial"/>
                <w:color w:val="000000"/>
                <w:sz w:val="22"/>
                <w:szCs w:val="22"/>
              </w:rPr>
              <w:t>in</w:t>
            </w:r>
            <w:r w:rsidRPr="00CE1695">
              <w:rPr>
                <w:rFonts w:cs="Arial"/>
                <w:color w:val="000000"/>
                <w:sz w:val="22"/>
                <w:szCs w:val="22"/>
              </w:rPr>
              <w:t>to services</w:t>
            </w:r>
            <w:r w:rsidR="00B01B76" w:rsidRPr="00CE1695">
              <w:rPr>
                <w:rFonts w:cs="Arial"/>
                <w:color w:val="000000"/>
                <w:sz w:val="22"/>
                <w:szCs w:val="22"/>
              </w:rPr>
              <w:t>,</w:t>
            </w:r>
            <w:r w:rsidRPr="00CE1695">
              <w:rPr>
                <w:rFonts w:cs="Arial"/>
                <w:color w:val="000000"/>
                <w:sz w:val="22"/>
                <w:szCs w:val="22"/>
              </w:rPr>
              <w:t xml:space="preserve"> </w:t>
            </w:r>
            <w:r w:rsidR="00E1525F">
              <w:rPr>
                <w:rFonts w:cs="Arial"/>
                <w:color w:val="000000"/>
                <w:sz w:val="22"/>
                <w:szCs w:val="22"/>
              </w:rPr>
              <w:t>as</w:t>
            </w:r>
            <w:r w:rsidRPr="00CE1695">
              <w:rPr>
                <w:rFonts w:cs="Arial"/>
                <w:color w:val="000000"/>
                <w:sz w:val="22"/>
                <w:szCs w:val="22"/>
              </w:rPr>
              <w:t xml:space="preserve"> appropriate.</w:t>
            </w:r>
          </w:p>
          <w:p w14:paraId="621132D5" w14:textId="77777777" w:rsidR="00A9206D" w:rsidRPr="00CE1695" w:rsidRDefault="00A9206D" w:rsidP="00935B8D">
            <w:pPr>
              <w:autoSpaceDE w:val="0"/>
              <w:autoSpaceDN w:val="0"/>
              <w:spacing w:before="40" w:after="40"/>
              <w:rPr>
                <w:rFonts w:cs="Arial"/>
                <w:sz w:val="22"/>
                <w:szCs w:val="22"/>
              </w:rPr>
            </w:pPr>
          </w:p>
          <w:p w14:paraId="48D8137C" w14:textId="77777777" w:rsidR="00A9206D" w:rsidRPr="00CE1695" w:rsidRDefault="00A9206D" w:rsidP="00935B8D">
            <w:pPr>
              <w:rPr>
                <w:rFonts w:cs="Arial"/>
                <w:b/>
                <w:bCs/>
                <w:color w:val="000000" w:themeColor="text1"/>
                <w:sz w:val="22"/>
                <w:szCs w:val="22"/>
              </w:rPr>
            </w:pPr>
            <w:r w:rsidRPr="00CE1695">
              <w:rPr>
                <w:rFonts w:cs="Arial"/>
                <w:b/>
                <w:bCs/>
                <w:color w:val="000000" w:themeColor="text1"/>
                <w:sz w:val="22"/>
                <w:szCs w:val="22"/>
              </w:rPr>
              <w:t>2.2 Service Objectives</w:t>
            </w:r>
          </w:p>
          <w:p w14:paraId="1009073C" w14:textId="03952A8F" w:rsidR="007A4C05" w:rsidRPr="00CE1695" w:rsidRDefault="0039351F" w:rsidP="009379C4">
            <w:pPr>
              <w:pStyle w:val="ListParagraph"/>
              <w:numPr>
                <w:ilvl w:val="0"/>
                <w:numId w:val="14"/>
              </w:numPr>
              <w:rPr>
                <w:rFonts w:cs="Arial"/>
                <w:bCs/>
                <w:color w:val="000000" w:themeColor="text1"/>
                <w:sz w:val="22"/>
                <w:szCs w:val="22"/>
              </w:rPr>
            </w:pPr>
            <w:r w:rsidRPr="00CE1695">
              <w:rPr>
                <w:rFonts w:cs="Arial"/>
                <w:bCs/>
                <w:color w:val="000000" w:themeColor="text1"/>
                <w:sz w:val="22"/>
                <w:szCs w:val="22"/>
              </w:rPr>
              <w:t xml:space="preserve">Identify and potentially supply suitable people with naloxone kits, including </w:t>
            </w:r>
            <w:r w:rsidR="00DD3BB2" w:rsidRPr="00CE1695">
              <w:rPr>
                <w:rFonts w:cs="Arial"/>
                <w:bCs/>
                <w:color w:val="000000" w:themeColor="text1"/>
                <w:sz w:val="22"/>
                <w:szCs w:val="22"/>
              </w:rPr>
              <w:t>people who</w:t>
            </w:r>
            <w:r w:rsidRPr="00CE1695">
              <w:rPr>
                <w:rFonts w:cs="Arial"/>
                <w:bCs/>
                <w:color w:val="000000" w:themeColor="text1"/>
                <w:sz w:val="22"/>
                <w:szCs w:val="22"/>
              </w:rPr>
              <w:t xml:space="preserve"> access</w:t>
            </w:r>
            <w:r w:rsidR="00DD3BB2" w:rsidRPr="00CE1695">
              <w:rPr>
                <w:rFonts w:cs="Arial"/>
                <w:bCs/>
                <w:color w:val="000000" w:themeColor="text1"/>
                <w:sz w:val="22"/>
                <w:szCs w:val="22"/>
              </w:rPr>
              <w:t xml:space="preserve"> the pharmacy for</w:t>
            </w:r>
            <w:r w:rsidRPr="00CE1695">
              <w:rPr>
                <w:rFonts w:cs="Arial"/>
                <w:bCs/>
                <w:color w:val="000000" w:themeColor="text1"/>
                <w:sz w:val="22"/>
                <w:szCs w:val="22"/>
              </w:rPr>
              <w:t xml:space="preserve"> </w:t>
            </w:r>
            <w:r w:rsidR="00DD3BB2" w:rsidRPr="00CE1695">
              <w:rPr>
                <w:rFonts w:cs="Arial"/>
                <w:bCs/>
                <w:color w:val="000000" w:themeColor="text1"/>
                <w:sz w:val="22"/>
                <w:szCs w:val="22"/>
              </w:rPr>
              <w:t>N</w:t>
            </w:r>
            <w:r w:rsidRPr="00CE1695">
              <w:rPr>
                <w:rFonts w:cs="Arial"/>
                <w:bCs/>
                <w:color w:val="000000" w:themeColor="text1"/>
                <w:sz w:val="22"/>
                <w:szCs w:val="22"/>
              </w:rPr>
              <w:t xml:space="preserve">eedle </w:t>
            </w:r>
            <w:r w:rsidR="00DD3BB2" w:rsidRPr="00CE1695">
              <w:rPr>
                <w:rFonts w:cs="Arial"/>
                <w:bCs/>
                <w:color w:val="000000" w:themeColor="text1"/>
                <w:sz w:val="22"/>
                <w:szCs w:val="22"/>
              </w:rPr>
              <w:t>E</w:t>
            </w:r>
            <w:r w:rsidRPr="00CE1695">
              <w:rPr>
                <w:rFonts w:cs="Arial"/>
                <w:bCs/>
                <w:color w:val="000000" w:themeColor="text1"/>
                <w:sz w:val="22"/>
                <w:szCs w:val="22"/>
              </w:rPr>
              <w:t xml:space="preserve">xchange and/or </w:t>
            </w:r>
            <w:r w:rsidR="00DD3BB2" w:rsidRPr="00CE1695">
              <w:rPr>
                <w:rFonts w:cs="Arial"/>
                <w:bCs/>
                <w:color w:val="000000" w:themeColor="text1"/>
                <w:sz w:val="22"/>
                <w:szCs w:val="22"/>
              </w:rPr>
              <w:t>Supervised Consumption Service</w:t>
            </w:r>
            <w:r w:rsidRPr="00CE1695">
              <w:rPr>
                <w:rFonts w:cs="Arial"/>
                <w:bCs/>
                <w:color w:val="000000" w:themeColor="text1"/>
                <w:sz w:val="22"/>
                <w:szCs w:val="22"/>
              </w:rPr>
              <w:t xml:space="preserve"> and people likely to witness someone experiencing an overdose,</w:t>
            </w:r>
          </w:p>
          <w:p w14:paraId="17F6E1E2" w14:textId="73E7AF08" w:rsidR="0039351F" w:rsidRPr="00CE1695" w:rsidRDefault="0039351F" w:rsidP="009379C4">
            <w:pPr>
              <w:pStyle w:val="ListParagraph"/>
              <w:numPr>
                <w:ilvl w:val="0"/>
                <w:numId w:val="14"/>
              </w:numPr>
              <w:rPr>
                <w:rFonts w:cs="Arial"/>
                <w:bCs/>
                <w:color w:val="000000" w:themeColor="text1"/>
                <w:sz w:val="22"/>
                <w:szCs w:val="22"/>
              </w:rPr>
            </w:pPr>
            <w:r w:rsidRPr="00CE1695">
              <w:rPr>
                <w:rFonts w:cs="Arial"/>
                <w:bCs/>
                <w:color w:val="000000" w:themeColor="text1"/>
                <w:sz w:val="22"/>
                <w:szCs w:val="22"/>
              </w:rPr>
              <w:t xml:space="preserve">Provide </w:t>
            </w:r>
            <w:r w:rsidR="00674EEE" w:rsidRPr="00CE1695">
              <w:rPr>
                <w:rFonts w:cs="Arial"/>
                <w:bCs/>
                <w:color w:val="000000" w:themeColor="text1"/>
                <w:sz w:val="22"/>
                <w:szCs w:val="22"/>
              </w:rPr>
              <w:t xml:space="preserve">suitable </w:t>
            </w:r>
            <w:r w:rsidRPr="00CE1695">
              <w:rPr>
                <w:rFonts w:cs="Arial"/>
                <w:bCs/>
                <w:color w:val="000000" w:themeColor="text1"/>
                <w:sz w:val="22"/>
                <w:szCs w:val="22"/>
              </w:rPr>
              <w:t>training on o</w:t>
            </w:r>
            <w:r w:rsidR="00674EEE" w:rsidRPr="00CE1695">
              <w:rPr>
                <w:rFonts w:cs="Arial"/>
                <w:bCs/>
                <w:color w:val="000000" w:themeColor="text1"/>
                <w:sz w:val="22"/>
                <w:szCs w:val="22"/>
              </w:rPr>
              <w:t>pi</w:t>
            </w:r>
            <w:r w:rsidR="008D307D" w:rsidRPr="00CE1695">
              <w:rPr>
                <w:rFonts w:cs="Arial"/>
                <w:bCs/>
                <w:color w:val="000000" w:themeColor="text1"/>
                <w:sz w:val="22"/>
                <w:szCs w:val="22"/>
              </w:rPr>
              <w:t>oid</w:t>
            </w:r>
            <w:r w:rsidR="00674EEE" w:rsidRPr="00CE1695">
              <w:rPr>
                <w:rFonts w:cs="Arial"/>
                <w:bCs/>
                <w:color w:val="000000" w:themeColor="text1"/>
                <w:sz w:val="22"/>
                <w:szCs w:val="22"/>
              </w:rPr>
              <w:t xml:space="preserve"> o</w:t>
            </w:r>
            <w:r w:rsidRPr="00CE1695">
              <w:rPr>
                <w:rFonts w:cs="Arial"/>
                <w:bCs/>
                <w:color w:val="000000" w:themeColor="text1"/>
                <w:sz w:val="22"/>
                <w:szCs w:val="22"/>
              </w:rPr>
              <w:t>verdose awareness and management</w:t>
            </w:r>
            <w:r w:rsidR="00674EEE" w:rsidRPr="00CE1695">
              <w:rPr>
                <w:rFonts w:cs="Arial"/>
                <w:bCs/>
                <w:color w:val="000000" w:themeColor="text1"/>
                <w:sz w:val="22"/>
                <w:szCs w:val="22"/>
              </w:rPr>
              <w:t>, to people who are supplied naloxone</w:t>
            </w:r>
            <w:r w:rsidRPr="00CE1695">
              <w:rPr>
                <w:rFonts w:cs="Arial"/>
                <w:bCs/>
                <w:color w:val="000000" w:themeColor="text1"/>
                <w:sz w:val="22"/>
                <w:szCs w:val="22"/>
              </w:rPr>
              <w:t>,</w:t>
            </w:r>
          </w:p>
          <w:p w14:paraId="2910FB06" w14:textId="021CA96B" w:rsidR="0039351F" w:rsidRPr="00CE1695" w:rsidRDefault="00674EEE" w:rsidP="009379C4">
            <w:pPr>
              <w:pStyle w:val="ListParagraph"/>
              <w:numPr>
                <w:ilvl w:val="0"/>
                <w:numId w:val="14"/>
              </w:numPr>
              <w:rPr>
                <w:rFonts w:cs="Arial"/>
                <w:bCs/>
                <w:color w:val="000000" w:themeColor="text1"/>
                <w:sz w:val="22"/>
                <w:szCs w:val="22"/>
              </w:rPr>
            </w:pPr>
            <w:r w:rsidRPr="00CE1695">
              <w:rPr>
                <w:rFonts w:cs="Arial"/>
                <w:bCs/>
                <w:color w:val="000000" w:themeColor="text1"/>
                <w:sz w:val="22"/>
                <w:szCs w:val="22"/>
              </w:rPr>
              <w:t>Offer a user-friendly, non-judgemental, and confidential service,</w:t>
            </w:r>
          </w:p>
          <w:p w14:paraId="18194B6C" w14:textId="67ED6C78" w:rsidR="00674EEE" w:rsidRPr="00CE1695" w:rsidRDefault="00674EEE" w:rsidP="009379C4">
            <w:pPr>
              <w:pStyle w:val="ListParagraph"/>
              <w:numPr>
                <w:ilvl w:val="0"/>
                <w:numId w:val="14"/>
              </w:numPr>
              <w:rPr>
                <w:rFonts w:cs="Arial"/>
                <w:bCs/>
                <w:color w:val="000000" w:themeColor="text1"/>
                <w:sz w:val="22"/>
                <w:szCs w:val="22"/>
              </w:rPr>
            </w:pPr>
            <w:r w:rsidRPr="00CE1695">
              <w:rPr>
                <w:rFonts w:cs="Arial"/>
                <w:bCs/>
                <w:color w:val="000000" w:themeColor="text1"/>
                <w:sz w:val="22"/>
                <w:szCs w:val="22"/>
              </w:rPr>
              <w:t>Provide support and advice to people who use the service, including referral to drug treatment</w:t>
            </w:r>
            <w:r w:rsidR="00492B28">
              <w:rPr>
                <w:rFonts w:cs="Arial"/>
                <w:bCs/>
                <w:color w:val="000000" w:themeColor="text1"/>
                <w:sz w:val="22"/>
                <w:szCs w:val="22"/>
              </w:rPr>
              <w:t xml:space="preserve"> and/or </w:t>
            </w:r>
            <w:r w:rsidRPr="00CE1695">
              <w:rPr>
                <w:rFonts w:cs="Arial"/>
                <w:bCs/>
                <w:color w:val="000000" w:themeColor="text1"/>
                <w:sz w:val="22"/>
                <w:szCs w:val="22"/>
              </w:rPr>
              <w:t xml:space="preserve">other </w:t>
            </w:r>
            <w:r w:rsidR="00E1525F">
              <w:rPr>
                <w:rFonts w:cs="Arial"/>
                <w:bCs/>
                <w:color w:val="000000" w:themeColor="text1"/>
                <w:sz w:val="22"/>
                <w:szCs w:val="22"/>
              </w:rPr>
              <w:t>P</w:t>
            </w:r>
            <w:r w:rsidRPr="00CE1695">
              <w:rPr>
                <w:rFonts w:cs="Arial"/>
                <w:bCs/>
                <w:color w:val="000000" w:themeColor="text1"/>
                <w:sz w:val="22"/>
                <w:szCs w:val="22"/>
              </w:rPr>
              <w:t xml:space="preserve">ublic </w:t>
            </w:r>
            <w:r w:rsidR="00E1525F">
              <w:rPr>
                <w:rFonts w:cs="Arial"/>
                <w:bCs/>
                <w:color w:val="000000" w:themeColor="text1"/>
                <w:sz w:val="22"/>
                <w:szCs w:val="22"/>
              </w:rPr>
              <w:t>H</w:t>
            </w:r>
            <w:r w:rsidRPr="00CE1695">
              <w:rPr>
                <w:rFonts w:cs="Arial"/>
                <w:bCs/>
                <w:color w:val="000000" w:themeColor="text1"/>
                <w:sz w:val="22"/>
                <w:szCs w:val="22"/>
              </w:rPr>
              <w:t xml:space="preserve">ealth services as </w:t>
            </w:r>
            <w:r w:rsidR="008D0C02" w:rsidRPr="00CE1695">
              <w:rPr>
                <w:rFonts w:cs="Arial"/>
                <w:bCs/>
                <w:color w:val="000000" w:themeColor="text1"/>
                <w:sz w:val="22"/>
                <w:szCs w:val="22"/>
              </w:rPr>
              <w:t>appropriate</w:t>
            </w:r>
            <w:r w:rsidRPr="00CE1695">
              <w:rPr>
                <w:rFonts w:cs="Arial"/>
                <w:bCs/>
                <w:color w:val="000000" w:themeColor="text1"/>
                <w:sz w:val="22"/>
                <w:szCs w:val="22"/>
              </w:rPr>
              <w:t>,</w:t>
            </w:r>
          </w:p>
          <w:p w14:paraId="0556BF8E" w14:textId="302DC881" w:rsidR="00586FBC" w:rsidRPr="00CE1695" w:rsidRDefault="00674EEE" w:rsidP="00AC4C16">
            <w:pPr>
              <w:pStyle w:val="ListParagraph"/>
              <w:numPr>
                <w:ilvl w:val="0"/>
                <w:numId w:val="14"/>
              </w:numPr>
              <w:rPr>
                <w:rFonts w:cs="Arial"/>
                <w:bCs/>
                <w:color w:val="000000" w:themeColor="text1"/>
                <w:sz w:val="22"/>
                <w:szCs w:val="22"/>
              </w:rPr>
            </w:pPr>
            <w:r w:rsidRPr="00CE1695">
              <w:rPr>
                <w:rFonts w:cs="Arial"/>
                <w:bCs/>
                <w:color w:val="000000" w:themeColor="text1"/>
                <w:sz w:val="22"/>
                <w:szCs w:val="22"/>
              </w:rPr>
              <w:t>E</w:t>
            </w:r>
            <w:r w:rsidR="00CF086C" w:rsidRPr="00CE1695">
              <w:rPr>
                <w:rFonts w:cs="Arial"/>
                <w:bCs/>
                <w:color w:val="000000" w:themeColor="text1"/>
                <w:sz w:val="22"/>
                <w:szCs w:val="22"/>
              </w:rPr>
              <w:t>nhance</w:t>
            </w:r>
            <w:r w:rsidRPr="00CE1695">
              <w:rPr>
                <w:rFonts w:cs="Arial"/>
                <w:bCs/>
                <w:color w:val="000000" w:themeColor="text1"/>
                <w:sz w:val="22"/>
                <w:szCs w:val="22"/>
              </w:rPr>
              <w:t xml:space="preserve"> access to naloxone </w:t>
            </w:r>
            <w:r w:rsidR="008D307D" w:rsidRPr="00CE1695">
              <w:rPr>
                <w:rFonts w:cs="Arial"/>
                <w:bCs/>
                <w:color w:val="000000" w:themeColor="text1"/>
                <w:sz w:val="22"/>
                <w:szCs w:val="22"/>
              </w:rPr>
              <w:t xml:space="preserve">by </w:t>
            </w:r>
            <w:r w:rsidR="00F22B04" w:rsidRPr="00CE1695">
              <w:rPr>
                <w:rFonts w:cs="Arial"/>
                <w:bCs/>
                <w:color w:val="000000" w:themeColor="text1"/>
                <w:sz w:val="22"/>
                <w:szCs w:val="22"/>
              </w:rPr>
              <w:t xml:space="preserve">enabling </w:t>
            </w:r>
            <w:r w:rsidR="008D307D" w:rsidRPr="00CE1695">
              <w:rPr>
                <w:rFonts w:cs="Arial"/>
                <w:bCs/>
                <w:color w:val="000000" w:themeColor="text1"/>
                <w:sz w:val="22"/>
                <w:szCs w:val="22"/>
              </w:rPr>
              <w:t>supply through community pharmacies</w:t>
            </w:r>
            <w:r w:rsidR="00CF086C" w:rsidRPr="00CE1695">
              <w:rPr>
                <w:rFonts w:cs="Arial"/>
                <w:bCs/>
                <w:color w:val="000000" w:themeColor="text1"/>
                <w:sz w:val="22"/>
                <w:szCs w:val="22"/>
              </w:rPr>
              <w:t xml:space="preserve"> which offers increased </w:t>
            </w:r>
            <w:r w:rsidR="00836873" w:rsidRPr="00CE1695">
              <w:rPr>
                <w:rFonts w:cs="Arial"/>
                <w:bCs/>
                <w:color w:val="000000" w:themeColor="text1"/>
                <w:sz w:val="22"/>
                <w:szCs w:val="22"/>
              </w:rPr>
              <w:t xml:space="preserve">choice through </w:t>
            </w:r>
            <w:r w:rsidR="00CF086C" w:rsidRPr="00CE1695">
              <w:rPr>
                <w:rFonts w:cs="Arial"/>
                <w:bCs/>
                <w:color w:val="000000" w:themeColor="text1"/>
                <w:sz w:val="22"/>
                <w:szCs w:val="22"/>
              </w:rPr>
              <w:t>more flexible opening times and locations</w:t>
            </w:r>
            <w:r w:rsidR="00836873" w:rsidRPr="00CE1695">
              <w:rPr>
                <w:rFonts w:cs="Arial"/>
                <w:bCs/>
                <w:color w:val="000000" w:themeColor="text1"/>
                <w:sz w:val="22"/>
                <w:szCs w:val="22"/>
              </w:rPr>
              <w:t>.</w:t>
            </w:r>
          </w:p>
          <w:p w14:paraId="737A2E01" w14:textId="77777777" w:rsidR="00586FBC" w:rsidRPr="00CE1695" w:rsidRDefault="00586FBC" w:rsidP="00586FBC">
            <w:pPr>
              <w:pStyle w:val="Default"/>
              <w:jc w:val="both"/>
              <w:rPr>
                <w:color w:val="000000" w:themeColor="text1"/>
                <w:sz w:val="22"/>
                <w:szCs w:val="22"/>
                <w:lang w:eastAsia="en-US"/>
              </w:rPr>
            </w:pPr>
          </w:p>
          <w:p w14:paraId="3143DE71" w14:textId="2A909FE9" w:rsidR="00586FBC" w:rsidRPr="00CE1695" w:rsidRDefault="00586FBC" w:rsidP="00586FBC">
            <w:pPr>
              <w:suppressAutoHyphens w:val="0"/>
              <w:jc w:val="left"/>
              <w:rPr>
                <w:rFonts w:cs="Arial"/>
                <w:b/>
                <w:sz w:val="22"/>
                <w:szCs w:val="22"/>
              </w:rPr>
            </w:pPr>
            <w:r w:rsidRPr="00CE1695">
              <w:rPr>
                <w:rFonts w:cs="Arial"/>
                <w:b/>
                <w:sz w:val="22"/>
                <w:szCs w:val="22"/>
              </w:rPr>
              <w:t>2.3 Service Description/Pathway</w:t>
            </w:r>
          </w:p>
          <w:p w14:paraId="45BE0DBE" w14:textId="167FF885" w:rsidR="00D87E6F" w:rsidRPr="00CE1695" w:rsidRDefault="00586FBC" w:rsidP="00D87E6F">
            <w:pPr>
              <w:autoSpaceDE w:val="0"/>
              <w:autoSpaceDN w:val="0"/>
              <w:spacing w:before="40" w:after="40"/>
              <w:rPr>
                <w:rFonts w:cs="Arial"/>
                <w:sz w:val="22"/>
                <w:szCs w:val="22"/>
              </w:rPr>
            </w:pPr>
            <w:r w:rsidRPr="00CE1695">
              <w:rPr>
                <w:rFonts w:cs="Arial"/>
                <w:sz w:val="22"/>
                <w:szCs w:val="22"/>
              </w:rPr>
              <w:t xml:space="preserve">This Service will </w:t>
            </w:r>
            <w:r w:rsidR="0040425E" w:rsidRPr="00CE1695">
              <w:rPr>
                <w:rFonts w:cs="Arial"/>
                <w:sz w:val="22"/>
                <w:szCs w:val="22"/>
              </w:rPr>
              <w:t>supply</w:t>
            </w:r>
            <w:r w:rsidR="00D87E6F" w:rsidRPr="00CE1695">
              <w:rPr>
                <w:rFonts w:cs="Arial"/>
                <w:sz w:val="22"/>
                <w:szCs w:val="22"/>
              </w:rPr>
              <w:t xml:space="preserve"> </w:t>
            </w:r>
            <w:r w:rsidR="00551078" w:rsidRPr="00CE1695">
              <w:rPr>
                <w:rFonts w:cs="Arial"/>
                <w:sz w:val="22"/>
                <w:szCs w:val="22"/>
              </w:rPr>
              <w:t>THN</w:t>
            </w:r>
            <w:r w:rsidR="00D87E6F" w:rsidRPr="00CE1695">
              <w:rPr>
                <w:rFonts w:cs="Arial"/>
                <w:sz w:val="22"/>
                <w:szCs w:val="22"/>
              </w:rPr>
              <w:t xml:space="preserve"> kits to suitable individuals identified as at-risk of an opioid overdose or who may witness an overdose, including:</w:t>
            </w:r>
          </w:p>
          <w:p w14:paraId="0E05BA2B" w14:textId="1A67266A" w:rsidR="00D87E6F" w:rsidRPr="00CE1695" w:rsidRDefault="00D87E6F" w:rsidP="009379C4">
            <w:pPr>
              <w:pStyle w:val="ListParagraph"/>
              <w:numPr>
                <w:ilvl w:val="0"/>
                <w:numId w:val="14"/>
              </w:numPr>
              <w:autoSpaceDE w:val="0"/>
              <w:autoSpaceDN w:val="0"/>
              <w:spacing w:before="40" w:after="40"/>
              <w:rPr>
                <w:rFonts w:cs="Arial"/>
                <w:bCs/>
                <w:iCs/>
                <w:sz w:val="22"/>
                <w:szCs w:val="22"/>
              </w:rPr>
            </w:pPr>
            <w:r w:rsidRPr="00CE1695">
              <w:rPr>
                <w:rFonts w:cs="Arial"/>
                <w:sz w:val="22"/>
                <w:szCs w:val="22"/>
              </w:rPr>
              <w:t xml:space="preserve">Someone who </w:t>
            </w:r>
            <w:r w:rsidR="00CF086C" w:rsidRPr="00CE1695">
              <w:rPr>
                <w:rFonts w:cs="Arial"/>
                <w:sz w:val="22"/>
                <w:szCs w:val="22"/>
              </w:rPr>
              <w:t>currently uses</w:t>
            </w:r>
            <w:r w:rsidRPr="00CE1695">
              <w:rPr>
                <w:rFonts w:cs="Arial"/>
                <w:sz w:val="22"/>
                <w:szCs w:val="22"/>
              </w:rPr>
              <w:t xml:space="preserve">, or has </w:t>
            </w:r>
            <w:r w:rsidR="00CF086C" w:rsidRPr="00CE1695">
              <w:rPr>
                <w:rFonts w:cs="Arial"/>
                <w:sz w:val="22"/>
                <w:szCs w:val="22"/>
              </w:rPr>
              <w:t xml:space="preserve">a history of using </w:t>
            </w:r>
            <w:r w:rsidRPr="00CE1695">
              <w:rPr>
                <w:rFonts w:cs="Arial"/>
                <w:sz w:val="22"/>
                <w:szCs w:val="22"/>
              </w:rPr>
              <w:t>opi</w:t>
            </w:r>
            <w:r w:rsidR="00492B28">
              <w:rPr>
                <w:rFonts w:cs="Arial"/>
                <w:sz w:val="22"/>
                <w:szCs w:val="22"/>
              </w:rPr>
              <w:t>oid</w:t>
            </w:r>
            <w:r w:rsidRPr="00CE1695">
              <w:rPr>
                <w:rFonts w:cs="Arial"/>
                <w:sz w:val="22"/>
                <w:szCs w:val="22"/>
              </w:rPr>
              <w:t>s</w:t>
            </w:r>
            <w:r w:rsidR="00F22B04" w:rsidRPr="00CE1695">
              <w:rPr>
                <w:rFonts w:cs="Arial"/>
                <w:sz w:val="22"/>
                <w:szCs w:val="22"/>
              </w:rPr>
              <w:t>,</w:t>
            </w:r>
          </w:p>
          <w:p w14:paraId="625BDDCF" w14:textId="0DC4038C" w:rsidR="00D87E6F" w:rsidRPr="00CE1695" w:rsidRDefault="00D87E6F" w:rsidP="009379C4">
            <w:pPr>
              <w:pStyle w:val="ListParagraph"/>
              <w:numPr>
                <w:ilvl w:val="0"/>
                <w:numId w:val="14"/>
              </w:numPr>
              <w:autoSpaceDE w:val="0"/>
              <w:autoSpaceDN w:val="0"/>
              <w:spacing w:before="40" w:after="40"/>
              <w:rPr>
                <w:rFonts w:cs="Arial"/>
                <w:bCs/>
                <w:iCs/>
                <w:sz w:val="22"/>
                <w:szCs w:val="22"/>
              </w:rPr>
            </w:pPr>
            <w:r w:rsidRPr="00CE1695">
              <w:rPr>
                <w:sz w:val="22"/>
                <w:szCs w:val="22"/>
              </w:rPr>
              <w:t>A family member</w:t>
            </w:r>
            <w:r w:rsidR="00DD3BB2" w:rsidRPr="00CE1695">
              <w:rPr>
                <w:sz w:val="22"/>
                <w:szCs w:val="22"/>
              </w:rPr>
              <w:t>/</w:t>
            </w:r>
            <w:r w:rsidRPr="00CE1695">
              <w:rPr>
                <w:sz w:val="22"/>
                <w:szCs w:val="22"/>
              </w:rPr>
              <w:t xml:space="preserve"> peer</w:t>
            </w:r>
            <w:r w:rsidR="00DD3BB2" w:rsidRPr="00CE1695">
              <w:rPr>
                <w:sz w:val="22"/>
                <w:szCs w:val="22"/>
              </w:rPr>
              <w:t>/ carer</w:t>
            </w:r>
            <w:r w:rsidRPr="00CE1695">
              <w:rPr>
                <w:sz w:val="22"/>
                <w:szCs w:val="22"/>
              </w:rPr>
              <w:t xml:space="preserve"> of a person </w:t>
            </w:r>
            <w:r w:rsidR="00DD3BB2" w:rsidRPr="00CE1695">
              <w:rPr>
                <w:sz w:val="22"/>
                <w:szCs w:val="22"/>
              </w:rPr>
              <w:t>who uses</w:t>
            </w:r>
            <w:r w:rsidR="00492B28">
              <w:rPr>
                <w:sz w:val="22"/>
                <w:szCs w:val="22"/>
              </w:rPr>
              <w:t xml:space="preserve"> opioid</w:t>
            </w:r>
            <w:r w:rsidRPr="00CE1695">
              <w:rPr>
                <w:sz w:val="22"/>
                <w:szCs w:val="22"/>
              </w:rPr>
              <w:t xml:space="preserve">s, </w:t>
            </w:r>
          </w:p>
          <w:p w14:paraId="1CB42BE8" w14:textId="33C8D9B7" w:rsidR="00586FBC" w:rsidRPr="00CE1695" w:rsidRDefault="00D87E6F" w:rsidP="009379C4">
            <w:pPr>
              <w:pStyle w:val="ListParagraph"/>
              <w:numPr>
                <w:ilvl w:val="0"/>
                <w:numId w:val="14"/>
              </w:numPr>
              <w:autoSpaceDE w:val="0"/>
              <w:autoSpaceDN w:val="0"/>
              <w:spacing w:before="40" w:after="40"/>
              <w:rPr>
                <w:rFonts w:cs="Arial"/>
                <w:bCs/>
                <w:iCs/>
                <w:sz w:val="22"/>
                <w:szCs w:val="22"/>
              </w:rPr>
            </w:pPr>
            <w:r w:rsidRPr="00CE1695">
              <w:rPr>
                <w:sz w:val="22"/>
                <w:szCs w:val="22"/>
              </w:rPr>
              <w:t>A worker for a service whose clients include people who use opi</w:t>
            </w:r>
            <w:r w:rsidR="00492B28">
              <w:rPr>
                <w:sz w:val="22"/>
                <w:szCs w:val="22"/>
              </w:rPr>
              <w:t>oid</w:t>
            </w:r>
            <w:r w:rsidRPr="00CE1695">
              <w:rPr>
                <w:sz w:val="22"/>
                <w:szCs w:val="22"/>
              </w:rPr>
              <w:t>s</w:t>
            </w:r>
            <w:r w:rsidR="00CF086C" w:rsidRPr="00CE1695">
              <w:rPr>
                <w:sz w:val="22"/>
                <w:szCs w:val="22"/>
              </w:rPr>
              <w:t>.</w:t>
            </w:r>
            <w:r w:rsidRPr="00CE1695">
              <w:rPr>
                <w:rFonts w:cs="Arial"/>
                <w:sz w:val="22"/>
                <w:szCs w:val="22"/>
              </w:rPr>
              <w:t xml:space="preserve"> </w:t>
            </w:r>
          </w:p>
          <w:p w14:paraId="72889AB8" w14:textId="77777777" w:rsidR="00425CC2" w:rsidRPr="00CE1695" w:rsidRDefault="00425CC2" w:rsidP="00367CDD">
            <w:pPr>
              <w:autoSpaceDE w:val="0"/>
              <w:autoSpaceDN w:val="0"/>
              <w:spacing w:before="40" w:after="40"/>
              <w:rPr>
                <w:rFonts w:cs="Arial"/>
                <w:bCs/>
                <w:iCs/>
                <w:color w:val="FF0000"/>
                <w:sz w:val="22"/>
                <w:szCs w:val="22"/>
              </w:rPr>
            </w:pPr>
          </w:p>
          <w:p w14:paraId="1D2DB4FB" w14:textId="6303623E" w:rsidR="00367CDD" w:rsidRPr="00CE1695" w:rsidRDefault="00DF28A9" w:rsidP="00367CDD">
            <w:pPr>
              <w:autoSpaceDE w:val="0"/>
              <w:autoSpaceDN w:val="0"/>
              <w:spacing w:before="40" w:after="40"/>
              <w:rPr>
                <w:rFonts w:cs="Arial"/>
                <w:bCs/>
                <w:iCs/>
                <w:sz w:val="22"/>
                <w:szCs w:val="22"/>
              </w:rPr>
            </w:pPr>
            <w:bookmarkStart w:id="2" w:name="_Hlk163465322"/>
            <w:r w:rsidRPr="00CE1695">
              <w:rPr>
                <w:rFonts w:cs="Arial"/>
                <w:bCs/>
                <w:iCs/>
                <w:sz w:val="22"/>
                <w:szCs w:val="22"/>
              </w:rPr>
              <w:t xml:space="preserve">Naloxone for use in the community currently comes in two forms: a pre-filled syringe and a nasal spray. </w:t>
            </w:r>
            <w:r w:rsidR="00367CDD" w:rsidRPr="00CE1695">
              <w:rPr>
                <w:rFonts w:cs="Arial"/>
                <w:bCs/>
                <w:iCs/>
                <w:sz w:val="22"/>
                <w:szCs w:val="22"/>
              </w:rPr>
              <w:t xml:space="preserve">There are </w:t>
            </w:r>
            <w:r w:rsidR="00E71063" w:rsidRPr="00CE1695">
              <w:rPr>
                <w:rFonts w:cs="Arial"/>
                <w:bCs/>
                <w:iCs/>
                <w:sz w:val="22"/>
                <w:szCs w:val="22"/>
              </w:rPr>
              <w:t xml:space="preserve">currently </w:t>
            </w:r>
            <w:r w:rsidRPr="00CE1695">
              <w:rPr>
                <w:rFonts w:cs="Arial"/>
                <w:bCs/>
                <w:iCs/>
                <w:sz w:val="22"/>
                <w:szCs w:val="22"/>
              </w:rPr>
              <w:t xml:space="preserve">three </w:t>
            </w:r>
            <w:r w:rsidR="000D62CF" w:rsidRPr="00CE1695">
              <w:rPr>
                <w:rFonts w:cs="Arial"/>
                <w:bCs/>
                <w:iCs/>
                <w:sz w:val="22"/>
                <w:szCs w:val="22"/>
              </w:rPr>
              <w:t>THN</w:t>
            </w:r>
            <w:r w:rsidR="004C5C59" w:rsidRPr="00CE1695">
              <w:rPr>
                <w:rFonts w:cs="Arial"/>
                <w:bCs/>
                <w:iCs/>
                <w:sz w:val="22"/>
                <w:szCs w:val="22"/>
              </w:rPr>
              <w:t xml:space="preserve"> </w:t>
            </w:r>
            <w:r w:rsidR="00DD3BB2" w:rsidRPr="00CE1695">
              <w:rPr>
                <w:rFonts w:cs="Arial"/>
                <w:bCs/>
                <w:iCs/>
                <w:sz w:val="22"/>
                <w:szCs w:val="22"/>
              </w:rPr>
              <w:t>products</w:t>
            </w:r>
            <w:r w:rsidR="004C5C59" w:rsidRPr="00CE1695">
              <w:rPr>
                <w:rFonts w:cs="Arial"/>
                <w:bCs/>
                <w:iCs/>
                <w:sz w:val="22"/>
                <w:szCs w:val="22"/>
              </w:rPr>
              <w:t xml:space="preserve"> </w:t>
            </w:r>
            <w:r w:rsidR="00836873" w:rsidRPr="00CE1695">
              <w:rPr>
                <w:rFonts w:cs="Arial"/>
                <w:bCs/>
                <w:iCs/>
                <w:sz w:val="22"/>
                <w:szCs w:val="22"/>
              </w:rPr>
              <w:t>available to</w:t>
            </w:r>
            <w:r w:rsidR="004C5C59" w:rsidRPr="00CE1695">
              <w:rPr>
                <w:rFonts w:cs="Arial"/>
                <w:bCs/>
                <w:iCs/>
                <w:sz w:val="22"/>
                <w:szCs w:val="22"/>
              </w:rPr>
              <w:t xml:space="preserve"> be supplied</w:t>
            </w:r>
            <w:r w:rsidR="00E71063" w:rsidRPr="00CE1695">
              <w:rPr>
                <w:rFonts w:cs="Arial"/>
                <w:bCs/>
                <w:iCs/>
                <w:sz w:val="22"/>
                <w:szCs w:val="22"/>
              </w:rPr>
              <w:t>:</w:t>
            </w:r>
          </w:p>
          <w:p w14:paraId="05E0889B" w14:textId="5210364C" w:rsidR="00E71063" w:rsidRPr="00CE1695" w:rsidRDefault="00E71063" w:rsidP="009379C4">
            <w:pPr>
              <w:pStyle w:val="ListParagraph"/>
              <w:numPr>
                <w:ilvl w:val="0"/>
                <w:numId w:val="14"/>
              </w:numPr>
              <w:autoSpaceDE w:val="0"/>
              <w:autoSpaceDN w:val="0"/>
              <w:spacing w:before="40" w:after="40"/>
              <w:rPr>
                <w:rFonts w:cs="Arial"/>
                <w:bCs/>
                <w:iCs/>
                <w:sz w:val="22"/>
                <w:szCs w:val="22"/>
              </w:rPr>
            </w:pPr>
            <w:proofErr w:type="spellStart"/>
            <w:r w:rsidRPr="00CE1695">
              <w:rPr>
                <w:rFonts w:cs="Arial"/>
                <w:bCs/>
                <w:iCs/>
                <w:sz w:val="22"/>
                <w:szCs w:val="22"/>
              </w:rPr>
              <w:t>Nyxoid</w:t>
            </w:r>
            <w:proofErr w:type="spellEnd"/>
            <w:r w:rsidRPr="00CE1695">
              <w:rPr>
                <w:rFonts w:cs="Arial"/>
                <w:bCs/>
                <w:iCs/>
                <w:sz w:val="22"/>
                <w:szCs w:val="22"/>
              </w:rPr>
              <w:t>® nasal spray – each spray contains 1.8mg naloxone hydrochloride. It is a single-use product, the recommended dose being one spray (1.8mg) into the nostril. Each pack contains two individually sealed sprays,</w:t>
            </w:r>
          </w:p>
          <w:p w14:paraId="1A4A826C" w14:textId="2327E39A" w:rsidR="00E71063" w:rsidRPr="00CE1695" w:rsidRDefault="00E71063" w:rsidP="009379C4">
            <w:pPr>
              <w:pStyle w:val="ListParagraph"/>
              <w:numPr>
                <w:ilvl w:val="0"/>
                <w:numId w:val="14"/>
              </w:numPr>
              <w:autoSpaceDE w:val="0"/>
              <w:autoSpaceDN w:val="0"/>
              <w:spacing w:before="40" w:after="40"/>
              <w:rPr>
                <w:rFonts w:cs="Arial"/>
                <w:bCs/>
                <w:iCs/>
                <w:sz w:val="22"/>
                <w:szCs w:val="22"/>
              </w:rPr>
            </w:pPr>
            <w:r w:rsidRPr="00CE1695">
              <w:rPr>
                <w:rFonts w:cs="Arial"/>
                <w:bCs/>
                <w:iCs/>
                <w:sz w:val="22"/>
                <w:szCs w:val="22"/>
              </w:rPr>
              <w:t xml:space="preserve">Naloxone 1.26mg nasal spray </w:t>
            </w:r>
            <w:r w:rsidR="005C08C9" w:rsidRPr="00CE1695">
              <w:rPr>
                <w:rFonts w:cs="Arial"/>
                <w:bCs/>
                <w:iCs/>
                <w:sz w:val="22"/>
                <w:szCs w:val="22"/>
              </w:rPr>
              <w:t xml:space="preserve">(Pebble) </w:t>
            </w:r>
            <w:r w:rsidRPr="00CE1695">
              <w:rPr>
                <w:rFonts w:cs="Arial"/>
                <w:bCs/>
                <w:iCs/>
                <w:sz w:val="22"/>
                <w:szCs w:val="22"/>
              </w:rPr>
              <w:t xml:space="preserve">– each pack contains one ‘pebble’ carrying two spray containers. Each </w:t>
            </w:r>
            <w:r w:rsidR="00370100" w:rsidRPr="00CE1695">
              <w:rPr>
                <w:rFonts w:cs="Arial"/>
                <w:bCs/>
                <w:iCs/>
                <w:sz w:val="22"/>
                <w:szCs w:val="22"/>
              </w:rPr>
              <w:t xml:space="preserve">single-dose </w:t>
            </w:r>
            <w:r w:rsidRPr="00CE1695">
              <w:rPr>
                <w:rFonts w:cs="Arial"/>
                <w:bCs/>
                <w:iCs/>
                <w:sz w:val="22"/>
                <w:szCs w:val="22"/>
              </w:rPr>
              <w:t>spray contains a dose of 1.26mg nalox</w:t>
            </w:r>
            <w:r w:rsidR="00370100" w:rsidRPr="00CE1695">
              <w:rPr>
                <w:rFonts w:cs="Arial"/>
                <w:bCs/>
                <w:iCs/>
                <w:sz w:val="22"/>
                <w:szCs w:val="22"/>
              </w:rPr>
              <w:t>one.</w:t>
            </w:r>
          </w:p>
          <w:p w14:paraId="1F7983E5" w14:textId="60848E79" w:rsidR="005502C3" w:rsidRPr="00CE1695" w:rsidRDefault="00E71063" w:rsidP="00AC4C16">
            <w:pPr>
              <w:pStyle w:val="ListParagraph"/>
              <w:numPr>
                <w:ilvl w:val="0"/>
                <w:numId w:val="14"/>
              </w:numPr>
              <w:autoSpaceDE w:val="0"/>
              <w:autoSpaceDN w:val="0"/>
              <w:spacing w:before="40" w:after="40"/>
              <w:rPr>
                <w:rFonts w:cs="Arial"/>
                <w:bCs/>
                <w:iCs/>
                <w:sz w:val="22"/>
                <w:szCs w:val="22"/>
              </w:rPr>
            </w:pPr>
            <w:proofErr w:type="spellStart"/>
            <w:r w:rsidRPr="00CE1695">
              <w:rPr>
                <w:rFonts w:cs="Arial"/>
                <w:bCs/>
                <w:iCs/>
                <w:sz w:val="22"/>
                <w:szCs w:val="22"/>
              </w:rPr>
              <w:t>Prenoxad</w:t>
            </w:r>
            <w:proofErr w:type="spellEnd"/>
            <w:r w:rsidRPr="00CE1695">
              <w:rPr>
                <w:rFonts w:cs="Arial"/>
                <w:bCs/>
                <w:iCs/>
                <w:sz w:val="22"/>
                <w:szCs w:val="22"/>
              </w:rPr>
              <w:t>® solution for injection – each kit contains 1 X 2ml pre-filled syringe (Naloxone Hydrochloride 1.0mg/ml) and 2 X 23G 1.25” needles for intramuscular injection</w:t>
            </w:r>
            <w:r w:rsidR="00370100" w:rsidRPr="00CE1695">
              <w:rPr>
                <w:rFonts w:cs="Arial"/>
                <w:bCs/>
                <w:iCs/>
                <w:sz w:val="22"/>
                <w:szCs w:val="22"/>
              </w:rPr>
              <w:t>.</w:t>
            </w:r>
          </w:p>
          <w:bookmarkEnd w:id="2"/>
          <w:p w14:paraId="06DB4D72" w14:textId="77777777" w:rsidR="00492B28" w:rsidRDefault="00492B28" w:rsidP="00507D72">
            <w:pPr>
              <w:rPr>
                <w:sz w:val="22"/>
                <w:szCs w:val="22"/>
              </w:rPr>
            </w:pPr>
          </w:p>
          <w:p w14:paraId="7CA85CE8" w14:textId="0C1D166E" w:rsidR="00507D72" w:rsidRPr="00CE1695" w:rsidRDefault="00BC1E7F" w:rsidP="00507D72">
            <w:pPr>
              <w:rPr>
                <w:sz w:val="22"/>
                <w:szCs w:val="22"/>
              </w:rPr>
            </w:pPr>
            <w:r>
              <w:rPr>
                <w:sz w:val="22"/>
                <w:szCs w:val="22"/>
              </w:rPr>
              <w:t xml:space="preserve">Pharmacies shall </w:t>
            </w:r>
            <w:r w:rsidR="00A47C47">
              <w:rPr>
                <w:sz w:val="22"/>
                <w:szCs w:val="22"/>
              </w:rPr>
              <w:t>hold</w:t>
            </w:r>
            <w:r>
              <w:rPr>
                <w:sz w:val="22"/>
                <w:szCs w:val="22"/>
              </w:rPr>
              <w:t xml:space="preserve"> and </w:t>
            </w:r>
            <w:r w:rsidR="00507D72" w:rsidRPr="00CE1695">
              <w:rPr>
                <w:rFonts w:cs="Arial"/>
                <w:bCs/>
                <w:iCs/>
                <w:sz w:val="22"/>
                <w:szCs w:val="22"/>
              </w:rPr>
              <w:t xml:space="preserve">offer </w:t>
            </w:r>
            <w:r>
              <w:rPr>
                <w:rFonts w:cs="Arial"/>
                <w:bCs/>
                <w:iCs/>
                <w:sz w:val="22"/>
                <w:szCs w:val="22"/>
              </w:rPr>
              <w:t xml:space="preserve">the </w:t>
            </w:r>
            <w:r w:rsidR="00507D72" w:rsidRPr="00CE1695">
              <w:rPr>
                <w:rFonts w:cs="Arial"/>
                <w:bCs/>
                <w:iCs/>
                <w:sz w:val="22"/>
                <w:szCs w:val="22"/>
              </w:rPr>
              <w:t>nasal spray formulation (</w:t>
            </w:r>
            <w:r w:rsidR="00BC0B0A" w:rsidRPr="00CE1695">
              <w:rPr>
                <w:rFonts w:cs="Arial"/>
                <w:bCs/>
                <w:iCs/>
                <w:sz w:val="22"/>
                <w:szCs w:val="22"/>
              </w:rPr>
              <w:t xml:space="preserve">i.e., </w:t>
            </w:r>
            <w:r w:rsidR="00507D72" w:rsidRPr="00CE1695">
              <w:rPr>
                <w:rFonts w:cs="Arial"/>
                <w:bCs/>
                <w:iCs/>
                <w:sz w:val="22"/>
                <w:szCs w:val="22"/>
              </w:rPr>
              <w:t>‘</w:t>
            </w:r>
            <w:proofErr w:type="spellStart"/>
            <w:r w:rsidR="00507D72" w:rsidRPr="00CE1695">
              <w:rPr>
                <w:rFonts w:cs="Arial"/>
                <w:bCs/>
                <w:iCs/>
                <w:sz w:val="22"/>
                <w:szCs w:val="22"/>
              </w:rPr>
              <w:t>Nyxoid</w:t>
            </w:r>
            <w:proofErr w:type="spellEnd"/>
            <w:r w:rsidR="00507D72" w:rsidRPr="00CE1695">
              <w:rPr>
                <w:rFonts w:cs="Arial"/>
                <w:bCs/>
                <w:iCs/>
                <w:sz w:val="22"/>
                <w:szCs w:val="22"/>
              </w:rPr>
              <w:t>’ or ‘Pebble’) as first-line supply,</w:t>
            </w:r>
            <w:r w:rsidR="00507D72" w:rsidRPr="00CE1695">
              <w:rPr>
                <w:sz w:val="22"/>
                <w:szCs w:val="22"/>
              </w:rPr>
              <w:t xml:space="preserve"> subject to stock/budget availability</w:t>
            </w:r>
            <w:r w:rsidR="007F402B" w:rsidRPr="00CE1695">
              <w:rPr>
                <w:sz w:val="22"/>
                <w:szCs w:val="22"/>
              </w:rPr>
              <w:t xml:space="preserve">, however, </w:t>
            </w:r>
            <w:r w:rsidR="003D17FD">
              <w:rPr>
                <w:sz w:val="22"/>
                <w:szCs w:val="22"/>
              </w:rPr>
              <w:t xml:space="preserve">Pharmacies can order </w:t>
            </w:r>
            <w:proofErr w:type="spellStart"/>
            <w:r w:rsidR="003D17FD">
              <w:rPr>
                <w:sz w:val="22"/>
                <w:szCs w:val="22"/>
              </w:rPr>
              <w:t>Prenoxad</w:t>
            </w:r>
            <w:proofErr w:type="spellEnd"/>
            <w:r w:rsidR="003D17FD">
              <w:rPr>
                <w:sz w:val="22"/>
                <w:szCs w:val="22"/>
              </w:rPr>
              <w:t xml:space="preserve"> kits</w:t>
            </w:r>
            <w:r w:rsidR="003D17FD" w:rsidRPr="00CE1695">
              <w:rPr>
                <w:sz w:val="22"/>
                <w:szCs w:val="22"/>
              </w:rPr>
              <w:t xml:space="preserve"> </w:t>
            </w:r>
            <w:r w:rsidR="00BC0B0A" w:rsidRPr="00CE1695">
              <w:rPr>
                <w:sz w:val="22"/>
                <w:szCs w:val="22"/>
              </w:rPr>
              <w:t xml:space="preserve">if </w:t>
            </w:r>
            <w:r w:rsidR="003D17FD">
              <w:rPr>
                <w:sz w:val="22"/>
                <w:szCs w:val="22"/>
              </w:rPr>
              <w:t>one or more Service Users request the pre-filled syringe</w:t>
            </w:r>
            <w:r w:rsidR="00BC0B0A" w:rsidRPr="00CE1695">
              <w:rPr>
                <w:sz w:val="22"/>
                <w:szCs w:val="22"/>
              </w:rPr>
              <w:t xml:space="preserve"> </w:t>
            </w:r>
            <w:r w:rsidR="003D17FD">
              <w:rPr>
                <w:sz w:val="22"/>
                <w:szCs w:val="22"/>
              </w:rPr>
              <w:t>a</w:t>
            </w:r>
            <w:r w:rsidR="00BC0B0A" w:rsidRPr="00CE1695">
              <w:rPr>
                <w:sz w:val="22"/>
                <w:szCs w:val="22"/>
              </w:rPr>
              <w:t>s the preferred</w:t>
            </w:r>
            <w:r w:rsidR="007F402B" w:rsidRPr="00CE1695">
              <w:rPr>
                <w:sz w:val="22"/>
                <w:szCs w:val="22"/>
              </w:rPr>
              <w:t xml:space="preserve"> formulation for their usage</w:t>
            </w:r>
            <w:r w:rsidR="00507D72" w:rsidRPr="00CE1695">
              <w:rPr>
                <w:sz w:val="22"/>
                <w:szCs w:val="22"/>
              </w:rPr>
              <w:t>.</w:t>
            </w:r>
          </w:p>
          <w:p w14:paraId="63CD8BBB" w14:textId="77777777" w:rsidR="000D62CF" w:rsidRPr="00CE1695" w:rsidRDefault="000D62CF" w:rsidP="00CF086C">
            <w:pPr>
              <w:autoSpaceDE w:val="0"/>
              <w:autoSpaceDN w:val="0"/>
              <w:spacing w:before="40" w:after="40"/>
              <w:rPr>
                <w:rFonts w:cs="Arial"/>
                <w:bCs/>
                <w:iCs/>
                <w:sz w:val="22"/>
                <w:szCs w:val="22"/>
                <w:highlight w:val="yellow"/>
              </w:rPr>
            </w:pPr>
          </w:p>
          <w:p w14:paraId="1E052959" w14:textId="77777777" w:rsidR="00642320" w:rsidRDefault="00683BA4" w:rsidP="00CF086C">
            <w:pPr>
              <w:autoSpaceDE w:val="0"/>
              <w:autoSpaceDN w:val="0"/>
              <w:spacing w:before="40" w:after="40"/>
              <w:rPr>
                <w:rFonts w:cs="Arial"/>
                <w:bCs/>
                <w:iCs/>
                <w:sz w:val="22"/>
                <w:szCs w:val="22"/>
              </w:rPr>
            </w:pPr>
            <w:r>
              <w:rPr>
                <w:rFonts w:cs="Arial"/>
                <w:bCs/>
                <w:iCs/>
                <w:sz w:val="22"/>
                <w:szCs w:val="22"/>
              </w:rPr>
              <w:t xml:space="preserve">Pharmacies should usually </w:t>
            </w:r>
            <w:r w:rsidR="00C513A7" w:rsidRPr="00CE1695">
              <w:rPr>
                <w:rFonts w:cs="Arial"/>
                <w:bCs/>
                <w:iCs/>
                <w:sz w:val="22"/>
                <w:szCs w:val="22"/>
              </w:rPr>
              <w:t xml:space="preserve">supply one THN kit per </w:t>
            </w:r>
            <w:r>
              <w:rPr>
                <w:rFonts w:cs="Arial"/>
                <w:bCs/>
                <w:iCs/>
                <w:sz w:val="22"/>
                <w:szCs w:val="22"/>
              </w:rPr>
              <w:t>person, but more than one kit can be supplied in exceptional circumstances at the discretion of the responsible pharmacist or if advised by the Council – for example, in response to a formal drug alert</w:t>
            </w:r>
            <w:r w:rsidR="00C513A7" w:rsidRPr="00CE1695">
              <w:rPr>
                <w:rFonts w:cs="Arial"/>
                <w:bCs/>
                <w:iCs/>
                <w:sz w:val="22"/>
                <w:szCs w:val="22"/>
              </w:rPr>
              <w:t xml:space="preserve">. </w:t>
            </w:r>
          </w:p>
          <w:p w14:paraId="281A430D" w14:textId="6E0D0E00" w:rsidR="00BC1E7F" w:rsidRPr="002C32DD" w:rsidRDefault="00781415" w:rsidP="00CF086C">
            <w:pPr>
              <w:autoSpaceDE w:val="0"/>
              <w:autoSpaceDN w:val="0"/>
              <w:spacing w:before="40" w:after="40"/>
              <w:rPr>
                <w:rFonts w:cs="Arial"/>
                <w:bCs/>
                <w:iCs/>
                <w:sz w:val="22"/>
                <w:szCs w:val="22"/>
              </w:rPr>
            </w:pPr>
            <w:r w:rsidRPr="00CE1695">
              <w:rPr>
                <w:rFonts w:cs="Arial"/>
                <w:bCs/>
                <w:iCs/>
                <w:sz w:val="22"/>
                <w:szCs w:val="22"/>
              </w:rPr>
              <w:lastRenderedPageBreak/>
              <w:t xml:space="preserve">THN kits will be provided free of charge to </w:t>
            </w:r>
            <w:r w:rsidR="00C846B7">
              <w:rPr>
                <w:rFonts w:cs="Arial"/>
                <w:bCs/>
                <w:iCs/>
                <w:sz w:val="22"/>
                <w:szCs w:val="22"/>
              </w:rPr>
              <w:t xml:space="preserve">the </w:t>
            </w:r>
            <w:r w:rsidRPr="00CE1695">
              <w:rPr>
                <w:rFonts w:cs="Arial"/>
                <w:bCs/>
                <w:iCs/>
                <w:sz w:val="22"/>
                <w:szCs w:val="22"/>
              </w:rPr>
              <w:t xml:space="preserve">Service Provider </w:t>
            </w:r>
            <w:r w:rsidR="00B518B4" w:rsidRPr="00CE1695">
              <w:rPr>
                <w:rFonts w:cs="Arial"/>
                <w:bCs/>
                <w:iCs/>
                <w:sz w:val="22"/>
                <w:szCs w:val="22"/>
              </w:rPr>
              <w:t>via</w:t>
            </w:r>
            <w:r w:rsidRPr="00CE1695">
              <w:rPr>
                <w:rFonts w:cs="Arial"/>
                <w:bCs/>
                <w:iCs/>
                <w:sz w:val="22"/>
                <w:szCs w:val="22"/>
              </w:rPr>
              <w:t xml:space="preserve"> </w:t>
            </w:r>
            <w:r w:rsidR="00C513A7" w:rsidRPr="00CE1695">
              <w:rPr>
                <w:rFonts w:cs="Arial"/>
                <w:bCs/>
                <w:iCs/>
                <w:sz w:val="22"/>
                <w:szCs w:val="22"/>
              </w:rPr>
              <w:t xml:space="preserve">the Council’s </w:t>
            </w:r>
            <w:r w:rsidR="00492B28" w:rsidRPr="00CE1695">
              <w:rPr>
                <w:rFonts w:cs="Arial"/>
                <w:bCs/>
                <w:iCs/>
                <w:sz w:val="22"/>
                <w:szCs w:val="22"/>
              </w:rPr>
              <w:t>c</w:t>
            </w:r>
            <w:r w:rsidR="00492B28">
              <w:rPr>
                <w:rFonts w:cs="Arial"/>
                <w:bCs/>
                <w:iCs/>
                <w:sz w:val="22"/>
                <w:szCs w:val="22"/>
              </w:rPr>
              <w:t xml:space="preserve">ontracted </w:t>
            </w:r>
            <w:r w:rsidR="00C513A7" w:rsidRPr="00CE1695">
              <w:rPr>
                <w:rFonts w:cs="Arial"/>
                <w:bCs/>
                <w:iCs/>
                <w:sz w:val="22"/>
                <w:szCs w:val="22"/>
              </w:rPr>
              <w:t xml:space="preserve">supplier – </w:t>
            </w:r>
            <w:r w:rsidR="00492B28">
              <w:rPr>
                <w:rFonts w:cs="Arial"/>
                <w:bCs/>
                <w:iCs/>
                <w:sz w:val="22"/>
                <w:szCs w:val="22"/>
              </w:rPr>
              <w:t xml:space="preserve">currently </w:t>
            </w:r>
            <w:r w:rsidRPr="00CE1695">
              <w:rPr>
                <w:rFonts w:cs="Arial"/>
                <w:bCs/>
                <w:iCs/>
                <w:sz w:val="22"/>
                <w:szCs w:val="22"/>
              </w:rPr>
              <w:t>Orion Medical Supplies Lt</w:t>
            </w:r>
            <w:r w:rsidR="00064C53" w:rsidRPr="00CE1695">
              <w:rPr>
                <w:rFonts w:cs="Arial"/>
                <w:bCs/>
                <w:iCs/>
                <w:sz w:val="22"/>
                <w:szCs w:val="22"/>
              </w:rPr>
              <w:t>d.</w:t>
            </w:r>
            <w:r w:rsidR="00BC1E7F">
              <w:rPr>
                <w:rFonts w:cs="Arial"/>
                <w:bCs/>
                <w:iCs/>
                <w:sz w:val="22"/>
                <w:szCs w:val="22"/>
              </w:rPr>
              <w:t xml:space="preserve"> Pharmacies can order THN kits from Orion </w:t>
            </w:r>
            <w:r w:rsidR="00632F14">
              <w:rPr>
                <w:rFonts w:cs="Arial"/>
                <w:bCs/>
                <w:iCs/>
                <w:sz w:val="22"/>
                <w:szCs w:val="22"/>
              </w:rPr>
              <w:t>either from their phone</w:t>
            </w:r>
            <w:r w:rsidR="00A47C47">
              <w:rPr>
                <w:rFonts w:cs="Arial"/>
                <w:sz w:val="22"/>
                <w:szCs w:val="22"/>
                <w:lang w:eastAsia="en-GB"/>
              </w:rPr>
              <w:t xml:space="preserve">: </w:t>
            </w:r>
            <w:r w:rsidR="00A47C47" w:rsidRPr="00026AE0">
              <w:rPr>
                <w:b/>
                <w:bCs/>
                <w:sz w:val="22"/>
                <w:szCs w:val="22"/>
              </w:rPr>
              <w:t>01869</w:t>
            </w:r>
            <w:r w:rsidR="000152BD" w:rsidRPr="00026AE0">
              <w:rPr>
                <w:b/>
                <w:bCs/>
                <w:sz w:val="22"/>
                <w:szCs w:val="22"/>
              </w:rPr>
              <w:t xml:space="preserve"> </w:t>
            </w:r>
            <w:r w:rsidR="00A47C47" w:rsidRPr="00026AE0">
              <w:rPr>
                <w:b/>
                <w:bCs/>
                <w:sz w:val="22"/>
                <w:szCs w:val="22"/>
              </w:rPr>
              <w:t>244423</w:t>
            </w:r>
            <w:r w:rsidR="00A47C47">
              <w:rPr>
                <w:sz w:val="22"/>
                <w:szCs w:val="22"/>
              </w:rPr>
              <w:t xml:space="preserve"> or </w:t>
            </w:r>
            <w:r w:rsidR="00BC1E7F">
              <w:rPr>
                <w:rFonts w:cs="Arial"/>
                <w:bCs/>
                <w:iCs/>
                <w:sz w:val="22"/>
                <w:szCs w:val="22"/>
              </w:rPr>
              <w:t>website:</w:t>
            </w:r>
            <w:r w:rsidR="00BC1E7F" w:rsidRPr="00CE1695">
              <w:rPr>
                <w:rFonts w:cs="Arial"/>
                <w:sz w:val="22"/>
                <w:szCs w:val="22"/>
                <w:lang w:eastAsia="en-GB"/>
              </w:rPr>
              <w:t xml:space="preserve"> </w:t>
            </w:r>
            <w:hyperlink r:id="rId8" w:history="1">
              <w:r w:rsidR="00BC1E7F" w:rsidRPr="00026AE0">
                <w:rPr>
                  <w:rStyle w:val="Hyperlink"/>
                  <w:rFonts w:cs="Arial"/>
                  <w:b/>
                  <w:bCs/>
                  <w:sz w:val="22"/>
                  <w:szCs w:val="22"/>
                  <w:lang w:eastAsia="en-GB"/>
                </w:rPr>
                <w:t>https://orionmedical.co.uk/</w:t>
              </w:r>
            </w:hyperlink>
            <w:r w:rsidR="00BC1E7F" w:rsidRPr="00CE1695">
              <w:rPr>
                <w:rFonts w:cs="Arial"/>
                <w:sz w:val="22"/>
                <w:szCs w:val="22"/>
                <w:lang w:eastAsia="en-GB"/>
              </w:rPr>
              <w:t xml:space="preserve"> </w:t>
            </w:r>
            <w:r w:rsidR="00A47C47">
              <w:rPr>
                <w:rFonts w:cs="Arial"/>
                <w:sz w:val="22"/>
                <w:szCs w:val="22"/>
                <w:lang w:eastAsia="en-GB"/>
              </w:rPr>
              <w:t xml:space="preserve">(you will need to </w:t>
            </w:r>
            <w:hyperlink r:id="rId9" w:history="1">
              <w:r w:rsidR="00A47C47" w:rsidRPr="007C5EB5">
                <w:rPr>
                  <w:rStyle w:val="Hyperlink"/>
                  <w:rFonts w:cs="Arial"/>
                  <w:sz w:val="22"/>
                  <w:szCs w:val="22"/>
                  <w:lang w:eastAsia="en-GB"/>
                </w:rPr>
                <w:t>register</w:t>
              </w:r>
            </w:hyperlink>
            <w:r w:rsidR="00A47C47">
              <w:rPr>
                <w:rFonts w:cs="Arial"/>
                <w:sz w:val="22"/>
                <w:szCs w:val="22"/>
                <w:lang w:eastAsia="en-GB"/>
              </w:rPr>
              <w:t xml:space="preserve"> for online ordering if you do not already have an account with Orion)</w:t>
            </w:r>
            <w:r w:rsidR="00BC1E7F">
              <w:rPr>
                <w:sz w:val="22"/>
                <w:szCs w:val="22"/>
              </w:rPr>
              <w:t>.</w:t>
            </w:r>
            <w:r w:rsidRPr="00CE1695">
              <w:rPr>
                <w:rFonts w:cs="Arial"/>
                <w:bCs/>
                <w:iCs/>
                <w:color w:val="FF0000"/>
                <w:sz w:val="22"/>
                <w:szCs w:val="22"/>
              </w:rPr>
              <w:t xml:space="preserve"> </w:t>
            </w:r>
            <w:r w:rsidR="003D17FD" w:rsidRPr="002C32DD">
              <w:rPr>
                <w:rFonts w:cs="Arial"/>
                <w:bCs/>
                <w:iCs/>
                <w:sz w:val="22"/>
                <w:szCs w:val="22"/>
              </w:rPr>
              <w:t xml:space="preserve">Service </w:t>
            </w:r>
            <w:r w:rsidR="003D17FD" w:rsidRPr="003D17FD">
              <w:rPr>
                <w:rFonts w:cs="Arial"/>
                <w:bCs/>
                <w:iCs/>
                <w:sz w:val="22"/>
                <w:szCs w:val="22"/>
              </w:rPr>
              <w:t>P</w:t>
            </w:r>
            <w:r w:rsidR="003D17FD">
              <w:rPr>
                <w:rFonts w:cs="Arial"/>
                <w:bCs/>
                <w:iCs/>
                <w:sz w:val="22"/>
                <w:szCs w:val="22"/>
              </w:rPr>
              <w:t>roviders who already hold a contract with the Council for the provision of Needle Exchange Programme (also referred to as ‘SWOP’) should already have an online account with Orio</w:t>
            </w:r>
            <w:r w:rsidR="00026AE0">
              <w:rPr>
                <w:rFonts w:cs="Arial"/>
                <w:bCs/>
                <w:iCs/>
                <w:sz w:val="22"/>
                <w:szCs w:val="22"/>
              </w:rPr>
              <w:t>n</w:t>
            </w:r>
            <w:r w:rsidR="003D17FD">
              <w:rPr>
                <w:rFonts w:cs="Arial"/>
                <w:bCs/>
                <w:iCs/>
                <w:sz w:val="22"/>
                <w:szCs w:val="22"/>
              </w:rPr>
              <w:t xml:space="preserve"> and can order THN kits as needed when ordering SWOP packs.</w:t>
            </w:r>
          </w:p>
          <w:p w14:paraId="2E0746D0" w14:textId="77777777" w:rsidR="00BC1E7F" w:rsidRDefault="00BC1E7F" w:rsidP="00CF086C">
            <w:pPr>
              <w:autoSpaceDE w:val="0"/>
              <w:autoSpaceDN w:val="0"/>
              <w:spacing w:before="40" w:after="40"/>
              <w:rPr>
                <w:rFonts w:cs="Arial"/>
                <w:bCs/>
                <w:iCs/>
                <w:color w:val="FF0000"/>
                <w:sz w:val="22"/>
                <w:szCs w:val="22"/>
              </w:rPr>
            </w:pPr>
          </w:p>
          <w:p w14:paraId="193D0FF5" w14:textId="4E03F571" w:rsidR="00781415" w:rsidRPr="00CE1695" w:rsidRDefault="003D17FD" w:rsidP="00CF086C">
            <w:pPr>
              <w:autoSpaceDE w:val="0"/>
              <w:autoSpaceDN w:val="0"/>
              <w:spacing w:before="40" w:after="40"/>
              <w:rPr>
                <w:rFonts w:cs="Arial"/>
                <w:bCs/>
                <w:iCs/>
                <w:sz w:val="22"/>
                <w:szCs w:val="22"/>
              </w:rPr>
            </w:pPr>
            <w:r w:rsidRPr="003D17FD">
              <w:rPr>
                <w:rFonts w:cs="Arial"/>
                <w:bCs/>
                <w:iCs/>
                <w:sz w:val="22"/>
                <w:szCs w:val="22"/>
              </w:rPr>
              <w:t>Each pharmacy site should</w:t>
            </w:r>
            <w:r w:rsidR="002C32DD">
              <w:rPr>
                <w:rFonts w:cs="Arial"/>
                <w:bCs/>
                <w:iCs/>
                <w:sz w:val="22"/>
                <w:szCs w:val="22"/>
              </w:rPr>
              <w:t xml:space="preserve"> </w:t>
            </w:r>
            <w:r w:rsidRPr="003D17FD">
              <w:rPr>
                <w:rFonts w:cs="Arial"/>
                <w:bCs/>
                <w:iCs/>
                <w:sz w:val="22"/>
                <w:szCs w:val="22"/>
              </w:rPr>
              <w:t xml:space="preserve">hold </w:t>
            </w:r>
            <w:r w:rsidR="002C32DD">
              <w:rPr>
                <w:rFonts w:cs="Arial"/>
                <w:bCs/>
                <w:iCs/>
                <w:sz w:val="22"/>
                <w:szCs w:val="22"/>
              </w:rPr>
              <w:t>a reasonable stock of THN kits at any one time, bearing in mind the perceived need in the area and the shelf-life of the THN kits (see Section 2.3.5).</w:t>
            </w:r>
          </w:p>
          <w:p w14:paraId="78BC63FB" w14:textId="77777777" w:rsidR="00586FBC" w:rsidRPr="00CE1695" w:rsidRDefault="00586FBC" w:rsidP="00586FBC">
            <w:pPr>
              <w:pStyle w:val="Default"/>
              <w:jc w:val="both"/>
              <w:rPr>
                <w:sz w:val="22"/>
                <w:szCs w:val="22"/>
                <w:lang w:bidi="bn"/>
              </w:rPr>
            </w:pPr>
          </w:p>
          <w:p w14:paraId="3EF4346B" w14:textId="77C231A9" w:rsidR="00586FBC" w:rsidRPr="00CE1695" w:rsidRDefault="00586FBC" w:rsidP="00AC4C16">
            <w:pPr>
              <w:pStyle w:val="Default"/>
              <w:jc w:val="both"/>
              <w:rPr>
                <w:sz w:val="22"/>
                <w:szCs w:val="22"/>
              </w:rPr>
            </w:pPr>
            <w:r w:rsidRPr="00CE1695">
              <w:rPr>
                <w:b/>
                <w:sz w:val="22"/>
                <w:szCs w:val="22"/>
                <w:lang w:bidi="bn"/>
              </w:rPr>
              <w:t xml:space="preserve">2.3.1 </w:t>
            </w:r>
            <w:r w:rsidR="008E7ED7" w:rsidRPr="00CE1695">
              <w:rPr>
                <w:b/>
                <w:sz w:val="22"/>
                <w:szCs w:val="22"/>
                <w:lang w:bidi="bn"/>
              </w:rPr>
              <w:t xml:space="preserve">The Minimum Essential </w:t>
            </w:r>
            <w:r w:rsidR="000D62CF" w:rsidRPr="00CE1695">
              <w:rPr>
                <w:b/>
                <w:sz w:val="22"/>
                <w:szCs w:val="22"/>
                <w:lang w:bidi="bn"/>
              </w:rPr>
              <w:t>C</w:t>
            </w:r>
            <w:r w:rsidR="004937E9" w:rsidRPr="00CE1695">
              <w:rPr>
                <w:b/>
                <w:sz w:val="22"/>
                <w:szCs w:val="22"/>
                <w:lang w:bidi="bn"/>
              </w:rPr>
              <w:t xml:space="preserve">riteria for </w:t>
            </w:r>
            <w:r w:rsidR="008E7ED7" w:rsidRPr="00CE1695">
              <w:rPr>
                <w:b/>
                <w:sz w:val="22"/>
                <w:szCs w:val="22"/>
                <w:lang w:bidi="bn"/>
              </w:rPr>
              <w:t>Delivery</w:t>
            </w:r>
          </w:p>
          <w:p w14:paraId="6F6A14CD" w14:textId="0D23595F" w:rsidR="00EA4D9B" w:rsidRPr="00CE1695" w:rsidRDefault="00551078" w:rsidP="00AC4C16">
            <w:pPr>
              <w:autoSpaceDE w:val="0"/>
              <w:autoSpaceDN w:val="0"/>
              <w:spacing w:before="40" w:after="40"/>
              <w:rPr>
                <w:rFonts w:cs="Arial"/>
                <w:bCs/>
                <w:iCs/>
                <w:sz w:val="22"/>
                <w:szCs w:val="22"/>
              </w:rPr>
            </w:pPr>
            <w:r w:rsidRPr="00CE1695">
              <w:rPr>
                <w:rFonts w:cs="Arial"/>
                <w:bCs/>
                <w:iCs/>
                <w:sz w:val="22"/>
                <w:szCs w:val="22"/>
              </w:rPr>
              <w:t>Th</w:t>
            </w:r>
            <w:r w:rsidR="000E1BBA" w:rsidRPr="00CE1695">
              <w:rPr>
                <w:rFonts w:cs="Arial"/>
                <w:bCs/>
                <w:iCs/>
                <w:sz w:val="22"/>
                <w:szCs w:val="22"/>
              </w:rPr>
              <w:t>is</w:t>
            </w:r>
            <w:r w:rsidRPr="00CE1695">
              <w:rPr>
                <w:rFonts w:cs="Arial"/>
                <w:bCs/>
                <w:iCs/>
                <w:sz w:val="22"/>
                <w:szCs w:val="22"/>
              </w:rPr>
              <w:t xml:space="preserve"> </w:t>
            </w:r>
            <w:r w:rsidR="000E1BBA" w:rsidRPr="00CE1695">
              <w:rPr>
                <w:rFonts w:cs="Arial"/>
                <w:bCs/>
                <w:iCs/>
                <w:sz w:val="22"/>
                <w:szCs w:val="22"/>
              </w:rPr>
              <w:t xml:space="preserve">pilot </w:t>
            </w:r>
            <w:r w:rsidRPr="00CE1695">
              <w:rPr>
                <w:rFonts w:cs="Arial"/>
                <w:bCs/>
                <w:iCs/>
                <w:sz w:val="22"/>
                <w:szCs w:val="22"/>
              </w:rPr>
              <w:t xml:space="preserve">Service can only be </w:t>
            </w:r>
            <w:r w:rsidR="008E7ED7" w:rsidRPr="00CE1695">
              <w:rPr>
                <w:rFonts w:cs="Arial"/>
                <w:bCs/>
                <w:iCs/>
                <w:sz w:val="22"/>
                <w:szCs w:val="22"/>
              </w:rPr>
              <w:t>deliver</w:t>
            </w:r>
            <w:r w:rsidRPr="00CE1695">
              <w:rPr>
                <w:rFonts w:cs="Arial"/>
                <w:bCs/>
                <w:iCs/>
                <w:sz w:val="22"/>
                <w:szCs w:val="22"/>
              </w:rPr>
              <w:t xml:space="preserve">ed </w:t>
            </w:r>
            <w:r w:rsidR="00E1525F">
              <w:rPr>
                <w:rFonts w:cs="Arial"/>
                <w:bCs/>
                <w:iCs/>
                <w:sz w:val="22"/>
                <w:szCs w:val="22"/>
              </w:rPr>
              <w:t>by</w:t>
            </w:r>
            <w:r w:rsidRPr="00CE1695">
              <w:rPr>
                <w:rFonts w:cs="Arial"/>
                <w:bCs/>
                <w:iCs/>
                <w:sz w:val="22"/>
                <w:szCs w:val="22"/>
              </w:rPr>
              <w:t xml:space="preserve"> </w:t>
            </w:r>
            <w:r w:rsidR="00E1525F">
              <w:rPr>
                <w:rFonts w:cs="Arial"/>
                <w:bCs/>
                <w:iCs/>
                <w:sz w:val="22"/>
                <w:szCs w:val="22"/>
              </w:rPr>
              <w:t>p</w:t>
            </w:r>
            <w:r w:rsidRPr="00CE1695">
              <w:rPr>
                <w:rFonts w:cs="Arial"/>
                <w:bCs/>
                <w:iCs/>
                <w:sz w:val="22"/>
                <w:szCs w:val="22"/>
              </w:rPr>
              <w:t xml:space="preserve">harmacies who already hold a </w:t>
            </w:r>
            <w:r w:rsidR="00E948CD">
              <w:rPr>
                <w:rFonts w:cs="Arial"/>
                <w:bCs/>
                <w:iCs/>
                <w:sz w:val="22"/>
                <w:szCs w:val="22"/>
              </w:rPr>
              <w:t xml:space="preserve">current </w:t>
            </w:r>
            <w:r w:rsidRPr="00CE1695">
              <w:rPr>
                <w:rFonts w:cs="Arial"/>
                <w:bCs/>
                <w:iCs/>
                <w:sz w:val="22"/>
                <w:szCs w:val="22"/>
              </w:rPr>
              <w:t xml:space="preserve">Contract with Oxfordshire County Council for the provision of Needle Exchange or Supervised Consumption Service. </w:t>
            </w:r>
          </w:p>
          <w:p w14:paraId="756F2197" w14:textId="77777777" w:rsidR="00E3144D" w:rsidRPr="00CE1695" w:rsidRDefault="00E3144D" w:rsidP="00EA4D9B">
            <w:pPr>
              <w:jc w:val="left"/>
              <w:rPr>
                <w:rFonts w:cs="Arial"/>
                <w:bCs/>
                <w:sz w:val="22"/>
                <w:szCs w:val="22"/>
              </w:rPr>
            </w:pPr>
          </w:p>
          <w:p w14:paraId="53ACFC4D" w14:textId="43C96C8C" w:rsidR="00EA4D9B" w:rsidRPr="00CE1695" w:rsidRDefault="00EA4D9B" w:rsidP="00EA4D9B">
            <w:pPr>
              <w:jc w:val="left"/>
              <w:rPr>
                <w:rFonts w:cs="Arial"/>
                <w:b/>
                <w:bCs/>
                <w:sz w:val="22"/>
                <w:szCs w:val="22"/>
              </w:rPr>
            </w:pPr>
            <w:r w:rsidRPr="00CE1695">
              <w:rPr>
                <w:rFonts w:cs="Arial"/>
                <w:b/>
                <w:bCs/>
                <w:sz w:val="22"/>
                <w:szCs w:val="22"/>
              </w:rPr>
              <w:t>2</w:t>
            </w:r>
            <w:r w:rsidR="002F3FE2" w:rsidRPr="00CE1695">
              <w:rPr>
                <w:rFonts w:cs="Arial"/>
                <w:b/>
                <w:bCs/>
                <w:sz w:val="22"/>
                <w:szCs w:val="22"/>
              </w:rPr>
              <w:t>.3.2</w:t>
            </w:r>
            <w:r w:rsidRPr="00CE1695">
              <w:rPr>
                <w:rFonts w:cs="Arial"/>
                <w:b/>
                <w:bCs/>
                <w:sz w:val="22"/>
                <w:szCs w:val="22"/>
              </w:rPr>
              <w:t xml:space="preserve"> </w:t>
            </w:r>
            <w:r w:rsidR="002F3FE2" w:rsidRPr="00CE1695">
              <w:rPr>
                <w:rFonts w:cs="Arial"/>
                <w:b/>
                <w:bCs/>
                <w:sz w:val="22"/>
                <w:szCs w:val="22"/>
              </w:rPr>
              <w:t>Specific Service Standards</w:t>
            </w:r>
          </w:p>
          <w:p w14:paraId="2E57EB51" w14:textId="77777777" w:rsidR="00EA4D9B" w:rsidRPr="00CE1695" w:rsidRDefault="00EA4D9B" w:rsidP="00EA4D9B">
            <w:pPr>
              <w:jc w:val="left"/>
              <w:rPr>
                <w:rFonts w:cs="Arial"/>
                <w:bCs/>
                <w:sz w:val="22"/>
                <w:szCs w:val="22"/>
              </w:rPr>
            </w:pPr>
            <w:r w:rsidRPr="00CE1695">
              <w:rPr>
                <w:rFonts w:cs="Arial"/>
                <w:bCs/>
                <w:sz w:val="22"/>
                <w:szCs w:val="22"/>
              </w:rPr>
              <w:t>The Service Provider shall:</w:t>
            </w:r>
          </w:p>
          <w:p w14:paraId="56D08003" w14:textId="0620675E" w:rsidR="008E7ED7" w:rsidRPr="00CE1695" w:rsidRDefault="008E7ED7" w:rsidP="008E7ED7">
            <w:pPr>
              <w:pStyle w:val="ListParagraph"/>
              <w:numPr>
                <w:ilvl w:val="0"/>
                <w:numId w:val="14"/>
              </w:numPr>
              <w:suppressAutoHyphens w:val="0"/>
              <w:jc w:val="left"/>
              <w:rPr>
                <w:rFonts w:cs="Arial"/>
                <w:sz w:val="22"/>
                <w:szCs w:val="22"/>
              </w:rPr>
            </w:pPr>
            <w:r w:rsidRPr="00CE1695">
              <w:rPr>
                <w:rFonts w:cs="Arial"/>
                <w:sz w:val="22"/>
                <w:szCs w:val="22"/>
              </w:rPr>
              <w:t xml:space="preserve">Supply THN kits to </w:t>
            </w:r>
            <w:r w:rsidR="00BC74BF">
              <w:rPr>
                <w:rFonts w:cs="Arial"/>
                <w:sz w:val="22"/>
                <w:szCs w:val="22"/>
              </w:rPr>
              <w:t>suitable individuals</w:t>
            </w:r>
            <w:r w:rsidRPr="00CE1695">
              <w:rPr>
                <w:rFonts w:cs="Arial"/>
                <w:sz w:val="22"/>
                <w:szCs w:val="22"/>
              </w:rPr>
              <w:t>, free of charge, including reissue of replacement kits following emergency use or date expiry.</w:t>
            </w:r>
          </w:p>
          <w:p w14:paraId="7DEB57FE" w14:textId="08A6EFB9" w:rsidR="00EA4D9B" w:rsidRPr="00CE1695" w:rsidRDefault="00EA4D9B" w:rsidP="009379C4">
            <w:pPr>
              <w:pStyle w:val="ListParagraph"/>
              <w:numPr>
                <w:ilvl w:val="0"/>
                <w:numId w:val="14"/>
              </w:numPr>
              <w:jc w:val="left"/>
              <w:rPr>
                <w:rFonts w:cs="Arial"/>
                <w:bCs/>
                <w:sz w:val="22"/>
                <w:szCs w:val="22"/>
              </w:rPr>
            </w:pPr>
            <w:r w:rsidRPr="00CE1695">
              <w:rPr>
                <w:rFonts w:cs="Arial"/>
                <w:bCs/>
                <w:sz w:val="22"/>
                <w:szCs w:val="22"/>
              </w:rPr>
              <w:t xml:space="preserve">Identify a Lead </w:t>
            </w:r>
            <w:r w:rsidR="00227461" w:rsidRPr="00CE1695">
              <w:rPr>
                <w:rFonts w:cs="Arial"/>
                <w:bCs/>
                <w:sz w:val="22"/>
                <w:szCs w:val="22"/>
              </w:rPr>
              <w:t xml:space="preserve">Pharmacist and/or </w:t>
            </w:r>
            <w:r w:rsidRPr="00CE1695">
              <w:rPr>
                <w:rFonts w:cs="Arial"/>
                <w:bCs/>
                <w:sz w:val="22"/>
                <w:szCs w:val="22"/>
              </w:rPr>
              <w:t>Staff member with responsibility for th</w:t>
            </w:r>
            <w:r w:rsidR="00BC74BF">
              <w:rPr>
                <w:rFonts w:cs="Arial"/>
                <w:bCs/>
                <w:sz w:val="22"/>
                <w:szCs w:val="22"/>
              </w:rPr>
              <w:t>e</w:t>
            </w:r>
            <w:r w:rsidRPr="00CE1695">
              <w:rPr>
                <w:rFonts w:cs="Arial"/>
                <w:bCs/>
                <w:sz w:val="22"/>
                <w:szCs w:val="22"/>
              </w:rPr>
              <w:t xml:space="preserve"> Service. </w:t>
            </w:r>
            <w:r w:rsidR="00E35A5D">
              <w:rPr>
                <w:rFonts w:cs="Arial"/>
                <w:bCs/>
                <w:sz w:val="22"/>
                <w:szCs w:val="22"/>
              </w:rPr>
              <w:t xml:space="preserve">The person/s shall ensure that all </w:t>
            </w:r>
            <w:r w:rsidR="00A42642">
              <w:rPr>
                <w:rFonts w:cs="Arial"/>
                <w:bCs/>
                <w:sz w:val="22"/>
                <w:szCs w:val="22"/>
              </w:rPr>
              <w:t>key</w:t>
            </w:r>
            <w:r w:rsidR="00E35A5D">
              <w:rPr>
                <w:rFonts w:cs="Arial"/>
                <w:bCs/>
                <w:sz w:val="22"/>
                <w:szCs w:val="22"/>
              </w:rPr>
              <w:t xml:space="preserve"> staff are suitabl</w:t>
            </w:r>
            <w:r w:rsidR="00A42642">
              <w:rPr>
                <w:rFonts w:cs="Arial"/>
                <w:bCs/>
                <w:sz w:val="22"/>
                <w:szCs w:val="22"/>
              </w:rPr>
              <w:t>y</w:t>
            </w:r>
            <w:r w:rsidR="00E35A5D">
              <w:rPr>
                <w:rFonts w:cs="Arial"/>
                <w:bCs/>
                <w:sz w:val="22"/>
                <w:szCs w:val="22"/>
              </w:rPr>
              <w:t xml:space="preserve"> trained to appropriately deliver the Service.</w:t>
            </w:r>
          </w:p>
          <w:p w14:paraId="26C1BA7F" w14:textId="71410617" w:rsidR="00EA4D9B" w:rsidRPr="00CE1695" w:rsidRDefault="00EA4D9B" w:rsidP="00AC56B9">
            <w:pPr>
              <w:pStyle w:val="ListParagraph"/>
              <w:numPr>
                <w:ilvl w:val="0"/>
                <w:numId w:val="14"/>
              </w:numPr>
              <w:jc w:val="left"/>
              <w:rPr>
                <w:rFonts w:cs="Arial"/>
                <w:bCs/>
                <w:sz w:val="22"/>
                <w:szCs w:val="22"/>
              </w:rPr>
            </w:pPr>
            <w:r w:rsidRPr="00CE1695">
              <w:rPr>
                <w:rFonts w:cs="Arial"/>
                <w:bCs/>
                <w:sz w:val="22"/>
                <w:szCs w:val="22"/>
              </w:rPr>
              <w:t xml:space="preserve">Ensure the Lead </w:t>
            </w:r>
            <w:r w:rsidR="00507D72" w:rsidRPr="00CE1695">
              <w:rPr>
                <w:rFonts w:cs="Arial"/>
                <w:bCs/>
                <w:sz w:val="22"/>
                <w:szCs w:val="22"/>
              </w:rPr>
              <w:t xml:space="preserve">Pharmacist/ </w:t>
            </w:r>
            <w:r w:rsidRPr="00CE1695">
              <w:rPr>
                <w:rFonts w:cs="Arial"/>
                <w:bCs/>
                <w:sz w:val="22"/>
                <w:szCs w:val="22"/>
              </w:rPr>
              <w:t xml:space="preserve">Staff member has successfully completed </w:t>
            </w:r>
            <w:r w:rsidR="004C4B67" w:rsidRPr="00CE1695">
              <w:rPr>
                <w:rFonts w:cs="Arial"/>
                <w:bCs/>
                <w:sz w:val="22"/>
                <w:szCs w:val="22"/>
              </w:rPr>
              <w:t>t</w:t>
            </w:r>
            <w:r w:rsidR="00AC56B9" w:rsidRPr="00CE1695">
              <w:rPr>
                <w:rFonts w:cs="Arial"/>
                <w:bCs/>
                <w:sz w:val="22"/>
                <w:szCs w:val="22"/>
              </w:rPr>
              <w:t xml:space="preserve">raining appropriate to this Service (see </w:t>
            </w:r>
            <w:r w:rsidR="00784869" w:rsidRPr="00CE1695">
              <w:rPr>
                <w:rFonts w:cs="Arial"/>
                <w:bCs/>
                <w:sz w:val="22"/>
                <w:szCs w:val="22"/>
              </w:rPr>
              <w:t>s</w:t>
            </w:r>
            <w:r w:rsidR="00AC56B9" w:rsidRPr="00CE1695">
              <w:rPr>
                <w:rFonts w:cs="Arial"/>
                <w:bCs/>
                <w:sz w:val="22"/>
                <w:szCs w:val="22"/>
              </w:rPr>
              <w:t xml:space="preserve">ection 2.3.3). </w:t>
            </w:r>
            <w:r w:rsidR="00784869" w:rsidRPr="00CE1695">
              <w:rPr>
                <w:rFonts w:cs="Arial"/>
                <w:bCs/>
                <w:sz w:val="22"/>
                <w:szCs w:val="22"/>
              </w:rPr>
              <w:t>This training</w:t>
            </w:r>
            <w:r w:rsidRPr="00CE1695">
              <w:rPr>
                <w:rFonts w:cs="Arial"/>
                <w:bCs/>
                <w:color w:val="000000" w:themeColor="text1"/>
                <w:sz w:val="22"/>
                <w:szCs w:val="22"/>
              </w:rPr>
              <w:t xml:space="preserve"> must </w:t>
            </w:r>
            <w:r w:rsidR="00784869" w:rsidRPr="00CE1695">
              <w:rPr>
                <w:rFonts w:cs="Arial"/>
                <w:bCs/>
                <w:color w:val="000000" w:themeColor="text1"/>
                <w:sz w:val="22"/>
                <w:szCs w:val="22"/>
              </w:rPr>
              <w:t>then be</w:t>
            </w:r>
            <w:r w:rsidRPr="00CE1695">
              <w:rPr>
                <w:rFonts w:cs="Arial"/>
                <w:bCs/>
                <w:color w:val="000000" w:themeColor="text1"/>
                <w:sz w:val="22"/>
                <w:szCs w:val="22"/>
              </w:rPr>
              <w:t xml:space="preserve"> cascaded to ensure that all </w:t>
            </w:r>
            <w:r w:rsidR="00A42642">
              <w:rPr>
                <w:rFonts w:cs="Arial"/>
                <w:bCs/>
                <w:color w:val="000000" w:themeColor="text1"/>
                <w:sz w:val="22"/>
                <w:szCs w:val="22"/>
              </w:rPr>
              <w:t xml:space="preserve">key </w:t>
            </w:r>
            <w:r w:rsidRPr="00CE1695">
              <w:rPr>
                <w:rFonts w:cs="Arial"/>
                <w:bCs/>
                <w:color w:val="000000" w:themeColor="text1"/>
                <w:sz w:val="22"/>
                <w:szCs w:val="22"/>
              </w:rPr>
              <w:t xml:space="preserve">staff </w:t>
            </w:r>
            <w:r w:rsidR="00A42642">
              <w:rPr>
                <w:rFonts w:cs="Arial"/>
                <w:bCs/>
                <w:color w:val="000000" w:themeColor="text1"/>
                <w:sz w:val="22"/>
                <w:szCs w:val="22"/>
              </w:rPr>
              <w:t>are appropriately</w:t>
            </w:r>
            <w:r w:rsidRPr="00CE1695">
              <w:rPr>
                <w:rFonts w:cs="Arial"/>
                <w:bCs/>
                <w:color w:val="000000" w:themeColor="text1"/>
                <w:sz w:val="22"/>
                <w:szCs w:val="22"/>
              </w:rPr>
              <w:t xml:space="preserve"> train</w:t>
            </w:r>
            <w:r w:rsidR="00026AE0">
              <w:rPr>
                <w:rFonts w:cs="Arial"/>
                <w:bCs/>
                <w:color w:val="000000" w:themeColor="text1"/>
                <w:sz w:val="22"/>
                <w:szCs w:val="22"/>
              </w:rPr>
              <w:t>ed</w:t>
            </w:r>
            <w:r w:rsidRPr="00CE1695">
              <w:rPr>
                <w:rFonts w:cs="Arial"/>
                <w:bCs/>
                <w:color w:val="000000" w:themeColor="text1"/>
                <w:sz w:val="22"/>
                <w:szCs w:val="22"/>
              </w:rPr>
              <w:t xml:space="preserve"> to be able to </w:t>
            </w:r>
            <w:r w:rsidR="00A42642">
              <w:rPr>
                <w:rFonts w:cs="Arial"/>
                <w:bCs/>
                <w:color w:val="000000" w:themeColor="text1"/>
                <w:sz w:val="22"/>
                <w:szCs w:val="22"/>
              </w:rPr>
              <w:t>deliver/</w:t>
            </w:r>
            <w:r w:rsidRPr="00CE1695">
              <w:rPr>
                <w:rFonts w:cs="Arial"/>
                <w:bCs/>
                <w:color w:val="000000" w:themeColor="text1"/>
                <w:sz w:val="22"/>
                <w:szCs w:val="22"/>
              </w:rPr>
              <w:t xml:space="preserve">support this Service. </w:t>
            </w:r>
          </w:p>
          <w:p w14:paraId="716BEE5D" w14:textId="531271DE" w:rsidR="006C2DDB" w:rsidRPr="00CE1695" w:rsidRDefault="006C2DDB" w:rsidP="006C2DDB">
            <w:pPr>
              <w:pStyle w:val="ListParagraph"/>
              <w:numPr>
                <w:ilvl w:val="0"/>
                <w:numId w:val="14"/>
              </w:numPr>
              <w:suppressAutoHyphens w:val="0"/>
              <w:jc w:val="left"/>
              <w:rPr>
                <w:rFonts w:cs="Arial"/>
                <w:sz w:val="22"/>
                <w:szCs w:val="22"/>
              </w:rPr>
            </w:pPr>
            <w:r w:rsidRPr="00CE1695">
              <w:rPr>
                <w:rFonts w:cs="Arial"/>
                <w:sz w:val="22"/>
                <w:szCs w:val="22"/>
              </w:rPr>
              <w:t>Ensure that appropriate advice on safe storage</w:t>
            </w:r>
            <w:r w:rsidR="00BC74BF">
              <w:rPr>
                <w:rFonts w:cs="Arial"/>
                <w:sz w:val="22"/>
                <w:szCs w:val="22"/>
              </w:rPr>
              <w:t xml:space="preserve"> and</w:t>
            </w:r>
            <w:r w:rsidR="00784869" w:rsidRPr="00CE1695">
              <w:rPr>
                <w:rFonts w:cs="Arial"/>
                <w:sz w:val="22"/>
                <w:szCs w:val="22"/>
              </w:rPr>
              <w:t xml:space="preserve"> </w:t>
            </w:r>
            <w:r w:rsidRPr="00CE1695">
              <w:rPr>
                <w:rFonts w:cs="Arial"/>
                <w:sz w:val="22"/>
                <w:szCs w:val="22"/>
              </w:rPr>
              <w:t>handling of naloxone (</w:t>
            </w:r>
            <w:r w:rsidR="00784869" w:rsidRPr="00CE1695">
              <w:rPr>
                <w:rFonts w:cs="Arial"/>
                <w:sz w:val="22"/>
                <w:szCs w:val="22"/>
              </w:rPr>
              <w:t xml:space="preserve">see </w:t>
            </w:r>
            <w:r w:rsidRPr="00CE1695">
              <w:rPr>
                <w:rFonts w:cs="Arial"/>
                <w:sz w:val="22"/>
                <w:szCs w:val="22"/>
              </w:rPr>
              <w:t xml:space="preserve">section 2.3.4) and brief training </w:t>
            </w:r>
            <w:r w:rsidR="00492B28">
              <w:rPr>
                <w:rFonts w:cs="Arial"/>
                <w:sz w:val="22"/>
                <w:szCs w:val="22"/>
              </w:rPr>
              <w:t xml:space="preserve">on </w:t>
            </w:r>
            <w:r w:rsidRPr="00CE1695">
              <w:rPr>
                <w:rFonts w:cs="Arial"/>
                <w:sz w:val="22"/>
                <w:szCs w:val="22"/>
              </w:rPr>
              <w:t xml:space="preserve">opioid overdose </w:t>
            </w:r>
            <w:r w:rsidR="00784869" w:rsidRPr="00CE1695">
              <w:rPr>
                <w:rFonts w:cs="Arial"/>
                <w:sz w:val="22"/>
                <w:szCs w:val="22"/>
              </w:rPr>
              <w:t xml:space="preserve">management </w:t>
            </w:r>
            <w:r w:rsidRPr="00CE1695">
              <w:rPr>
                <w:rFonts w:cs="Arial"/>
                <w:sz w:val="22"/>
                <w:szCs w:val="22"/>
              </w:rPr>
              <w:t xml:space="preserve">(see Appendix A) is provided to </w:t>
            </w:r>
            <w:r w:rsidR="003C55DE" w:rsidRPr="00CE1695">
              <w:rPr>
                <w:rFonts w:cs="Arial"/>
                <w:sz w:val="22"/>
                <w:szCs w:val="22"/>
              </w:rPr>
              <w:t>the THN recipient</w:t>
            </w:r>
            <w:r w:rsidRPr="00CE1695">
              <w:rPr>
                <w:rFonts w:cs="Arial"/>
                <w:sz w:val="22"/>
                <w:szCs w:val="22"/>
              </w:rPr>
              <w:t>, with each supply of a THN kit</w:t>
            </w:r>
            <w:r w:rsidR="003C55DE" w:rsidRPr="00CE1695">
              <w:rPr>
                <w:rFonts w:cs="Arial"/>
                <w:sz w:val="22"/>
                <w:szCs w:val="22"/>
              </w:rPr>
              <w:t>. Verification of the recipient’s knowledge and understanding of the training should be confirmed</w:t>
            </w:r>
            <w:r w:rsidR="00942CBB">
              <w:rPr>
                <w:rFonts w:cs="Arial"/>
                <w:sz w:val="22"/>
                <w:szCs w:val="22"/>
              </w:rPr>
              <w:t xml:space="preserve"> (see checklist in Appendix B).</w:t>
            </w:r>
          </w:p>
          <w:p w14:paraId="711C5973" w14:textId="7003323A" w:rsidR="00EA4D9B" w:rsidRPr="00CE1695" w:rsidRDefault="00EA4D9B" w:rsidP="009379C4">
            <w:pPr>
              <w:pStyle w:val="ListParagraph"/>
              <w:numPr>
                <w:ilvl w:val="0"/>
                <w:numId w:val="14"/>
              </w:numPr>
              <w:jc w:val="left"/>
              <w:rPr>
                <w:rFonts w:cs="Arial"/>
                <w:bCs/>
                <w:sz w:val="22"/>
                <w:szCs w:val="22"/>
              </w:rPr>
            </w:pPr>
            <w:r w:rsidRPr="00CE1695">
              <w:rPr>
                <w:rFonts w:cs="Arial"/>
                <w:bCs/>
                <w:sz w:val="22"/>
                <w:szCs w:val="22"/>
              </w:rPr>
              <w:t xml:space="preserve">Ensure the </w:t>
            </w:r>
            <w:r w:rsidR="00BC74BF">
              <w:rPr>
                <w:rFonts w:cs="Arial"/>
                <w:bCs/>
                <w:sz w:val="22"/>
                <w:szCs w:val="22"/>
              </w:rPr>
              <w:t>p</w:t>
            </w:r>
            <w:r w:rsidRPr="00CE1695">
              <w:rPr>
                <w:rFonts w:cs="Arial"/>
                <w:bCs/>
                <w:sz w:val="22"/>
                <w:szCs w:val="22"/>
              </w:rPr>
              <w:t>harmacy has a private consultation room</w:t>
            </w:r>
            <w:r w:rsidR="00BC74BF">
              <w:rPr>
                <w:rFonts w:cs="Arial"/>
                <w:bCs/>
                <w:sz w:val="22"/>
                <w:szCs w:val="22"/>
              </w:rPr>
              <w:t>/</w:t>
            </w:r>
            <w:r w:rsidRPr="00CE1695">
              <w:rPr>
                <w:rFonts w:cs="Arial"/>
                <w:bCs/>
                <w:sz w:val="22"/>
                <w:szCs w:val="22"/>
              </w:rPr>
              <w:t>area for delivery of this Service.</w:t>
            </w:r>
          </w:p>
          <w:p w14:paraId="67A07D45" w14:textId="25C2F0D2" w:rsidR="00EA4D9B" w:rsidRPr="00CE1695" w:rsidRDefault="00EA4D9B" w:rsidP="009379C4">
            <w:pPr>
              <w:pStyle w:val="ListParagraph"/>
              <w:numPr>
                <w:ilvl w:val="0"/>
                <w:numId w:val="14"/>
              </w:numPr>
              <w:jc w:val="left"/>
              <w:rPr>
                <w:rFonts w:cs="Arial"/>
                <w:bCs/>
                <w:sz w:val="22"/>
                <w:szCs w:val="22"/>
              </w:rPr>
            </w:pPr>
            <w:r w:rsidRPr="00CE1695">
              <w:rPr>
                <w:rFonts w:cs="Arial"/>
                <w:bCs/>
                <w:sz w:val="22"/>
                <w:szCs w:val="22"/>
              </w:rPr>
              <w:t xml:space="preserve">Notify the Council where the Lead </w:t>
            </w:r>
            <w:r w:rsidR="00784869" w:rsidRPr="00CE1695">
              <w:rPr>
                <w:rFonts w:cs="Arial"/>
                <w:bCs/>
                <w:sz w:val="22"/>
                <w:szCs w:val="22"/>
              </w:rPr>
              <w:t xml:space="preserve">Pharmacist/ </w:t>
            </w:r>
            <w:r w:rsidRPr="00CE1695">
              <w:rPr>
                <w:rFonts w:cs="Arial"/>
                <w:bCs/>
                <w:sz w:val="22"/>
                <w:szCs w:val="22"/>
              </w:rPr>
              <w:t xml:space="preserve">Staff member changes and send a copy of </w:t>
            </w:r>
            <w:r w:rsidR="00784869" w:rsidRPr="00CE1695">
              <w:rPr>
                <w:rFonts w:cs="Arial"/>
                <w:bCs/>
                <w:sz w:val="22"/>
                <w:szCs w:val="22"/>
              </w:rPr>
              <w:t>any</w:t>
            </w:r>
            <w:r w:rsidRPr="00CE1695">
              <w:rPr>
                <w:rFonts w:cs="Arial"/>
                <w:bCs/>
                <w:sz w:val="22"/>
                <w:szCs w:val="22"/>
              </w:rPr>
              <w:t xml:space="preserve"> new </w:t>
            </w:r>
            <w:r w:rsidR="00FA7372" w:rsidRPr="00CE1695">
              <w:rPr>
                <w:rFonts w:cs="Arial"/>
                <w:bCs/>
                <w:sz w:val="22"/>
                <w:szCs w:val="22"/>
              </w:rPr>
              <w:t xml:space="preserve">training </w:t>
            </w:r>
            <w:r w:rsidRPr="00CE1695">
              <w:rPr>
                <w:rFonts w:cs="Arial"/>
                <w:bCs/>
                <w:sz w:val="22"/>
                <w:szCs w:val="22"/>
              </w:rPr>
              <w:t>qualifications for delivery of this Service</w:t>
            </w:r>
            <w:r w:rsidR="00784869" w:rsidRPr="00CE1695">
              <w:rPr>
                <w:rFonts w:cs="Arial"/>
                <w:bCs/>
                <w:sz w:val="22"/>
                <w:szCs w:val="22"/>
              </w:rPr>
              <w:t>,</w:t>
            </w:r>
          </w:p>
          <w:p w14:paraId="4E232147" w14:textId="38118E5E" w:rsidR="00784869" w:rsidRPr="00CE1695" w:rsidRDefault="00784869" w:rsidP="00784869">
            <w:pPr>
              <w:pStyle w:val="ListParagraph"/>
              <w:numPr>
                <w:ilvl w:val="0"/>
                <w:numId w:val="14"/>
              </w:numPr>
              <w:jc w:val="left"/>
              <w:rPr>
                <w:rFonts w:cs="Arial"/>
                <w:bCs/>
                <w:sz w:val="22"/>
                <w:szCs w:val="22"/>
              </w:rPr>
            </w:pPr>
            <w:r w:rsidRPr="00CE1695">
              <w:rPr>
                <w:rFonts w:cs="Arial"/>
                <w:bCs/>
                <w:sz w:val="22"/>
                <w:szCs w:val="22"/>
              </w:rPr>
              <w:t xml:space="preserve">Have in place a Standard Operating Procedure (SOP) for delivery of this Service </w:t>
            </w:r>
            <w:r w:rsidR="003C55DE" w:rsidRPr="00CE1695">
              <w:rPr>
                <w:rFonts w:cs="Arial"/>
                <w:bCs/>
                <w:sz w:val="22"/>
                <w:szCs w:val="22"/>
              </w:rPr>
              <w:t xml:space="preserve">(see Annex A for illustrative SOP) </w:t>
            </w:r>
            <w:r w:rsidRPr="00CE1695">
              <w:rPr>
                <w:rFonts w:cs="Arial"/>
                <w:bCs/>
                <w:sz w:val="22"/>
                <w:szCs w:val="22"/>
              </w:rPr>
              <w:t xml:space="preserve">and ensure that all pharmacy staff </w:t>
            </w:r>
            <w:r w:rsidR="00AC4C16" w:rsidRPr="00CE1695">
              <w:rPr>
                <w:rFonts w:cs="Arial"/>
                <w:bCs/>
                <w:sz w:val="22"/>
                <w:szCs w:val="22"/>
              </w:rPr>
              <w:t>a</w:t>
            </w:r>
            <w:r w:rsidR="00AC4C16" w:rsidRPr="00CE1695">
              <w:rPr>
                <w:sz w:val="22"/>
                <w:szCs w:val="22"/>
              </w:rPr>
              <w:t>re</w:t>
            </w:r>
            <w:r w:rsidRPr="00CE1695">
              <w:rPr>
                <w:rFonts w:cs="Arial"/>
                <w:bCs/>
                <w:sz w:val="22"/>
                <w:szCs w:val="22"/>
              </w:rPr>
              <w:t xml:space="preserve"> aware of the SOP</w:t>
            </w:r>
            <w:r w:rsidR="003C55DE" w:rsidRPr="00CE1695">
              <w:rPr>
                <w:rFonts w:cs="Arial"/>
                <w:bCs/>
                <w:sz w:val="22"/>
                <w:szCs w:val="22"/>
              </w:rPr>
              <w:t>.</w:t>
            </w:r>
          </w:p>
          <w:p w14:paraId="12F2C0DF" w14:textId="21DE159A" w:rsidR="00EA4D9B" w:rsidRPr="00CE1695" w:rsidRDefault="00EA4D9B" w:rsidP="009379C4">
            <w:pPr>
              <w:pStyle w:val="ListParagraph"/>
              <w:numPr>
                <w:ilvl w:val="0"/>
                <w:numId w:val="14"/>
              </w:numPr>
              <w:jc w:val="left"/>
              <w:rPr>
                <w:rFonts w:cs="Arial"/>
                <w:bCs/>
                <w:sz w:val="22"/>
                <w:szCs w:val="22"/>
              </w:rPr>
            </w:pPr>
            <w:r w:rsidRPr="00CE1695">
              <w:rPr>
                <w:rFonts w:cs="Arial"/>
                <w:bCs/>
                <w:sz w:val="22"/>
                <w:szCs w:val="22"/>
              </w:rPr>
              <w:t xml:space="preserve">Ensure that </w:t>
            </w:r>
            <w:r w:rsidR="00784869" w:rsidRPr="00CE1695">
              <w:rPr>
                <w:rFonts w:cs="Arial"/>
                <w:bCs/>
                <w:sz w:val="22"/>
                <w:szCs w:val="22"/>
              </w:rPr>
              <w:t>l</w:t>
            </w:r>
            <w:r w:rsidRPr="00CE1695">
              <w:rPr>
                <w:rFonts w:cs="Arial"/>
                <w:bCs/>
                <w:sz w:val="22"/>
                <w:szCs w:val="22"/>
              </w:rPr>
              <w:t xml:space="preserve">ocum </w:t>
            </w:r>
            <w:r w:rsidR="00784869" w:rsidRPr="00CE1695">
              <w:rPr>
                <w:rFonts w:cs="Arial"/>
                <w:bCs/>
                <w:sz w:val="22"/>
                <w:szCs w:val="22"/>
              </w:rPr>
              <w:t>p</w:t>
            </w:r>
            <w:r w:rsidRPr="00CE1695">
              <w:rPr>
                <w:rFonts w:cs="Arial"/>
                <w:bCs/>
                <w:sz w:val="22"/>
                <w:szCs w:val="22"/>
              </w:rPr>
              <w:t xml:space="preserve">harmacy staff are made aware of this Service. Information and procedures for </w:t>
            </w:r>
            <w:r w:rsidR="00784869" w:rsidRPr="00CE1695">
              <w:rPr>
                <w:rFonts w:cs="Arial"/>
                <w:bCs/>
                <w:sz w:val="22"/>
                <w:szCs w:val="22"/>
              </w:rPr>
              <w:t>deliver</w:t>
            </w:r>
            <w:r w:rsidRPr="00CE1695">
              <w:rPr>
                <w:rFonts w:cs="Arial"/>
                <w:bCs/>
                <w:sz w:val="22"/>
                <w:szCs w:val="22"/>
              </w:rPr>
              <w:t>ing the Service must be easily available for locums to ensure continuity of the Service</w:t>
            </w:r>
            <w:r w:rsidR="00D128F9" w:rsidRPr="00CE1695">
              <w:rPr>
                <w:rFonts w:cs="Arial"/>
                <w:bCs/>
                <w:sz w:val="22"/>
                <w:szCs w:val="22"/>
              </w:rPr>
              <w:t>, where possible</w:t>
            </w:r>
            <w:r w:rsidRPr="00CE1695">
              <w:rPr>
                <w:rFonts w:cs="Arial"/>
                <w:bCs/>
                <w:sz w:val="22"/>
                <w:szCs w:val="22"/>
              </w:rPr>
              <w:t>.</w:t>
            </w:r>
          </w:p>
          <w:p w14:paraId="2D0EC32D" w14:textId="1023ECD9" w:rsidR="00EA4D9B" w:rsidRPr="00CE1695" w:rsidRDefault="00EA4D9B" w:rsidP="009379C4">
            <w:pPr>
              <w:pStyle w:val="ListParagraph"/>
              <w:numPr>
                <w:ilvl w:val="0"/>
                <w:numId w:val="14"/>
              </w:numPr>
              <w:jc w:val="left"/>
              <w:rPr>
                <w:rFonts w:cs="Arial"/>
                <w:bCs/>
                <w:sz w:val="22"/>
                <w:szCs w:val="22"/>
              </w:rPr>
            </w:pPr>
            <w:r w:rsidRPr="00CE1695">
              <w:rPr>
                <w:rFonts w:cs="Arial"/>
                <w:bCs/>
                <w:sz w:val="22"/>
                <w:szCs w:val="22"/>
              </w:rPr>
              <w:t xml:space="preserve">Ensure that there is sufficient storage available to hold </w:t>
            </w:r>
            <w:r w:rsidR="00642320">
              <w:rPr>
                <w:rFonts w:cs="Arial"/>
                <w:bCs/>
                <w:sz w:val="22"/>
                <w:szCs w:val="22"/>
              </w:rPr>
              <w:t xml:space="preserve">the </w:t>
            </w:r>
            <w:r w:rsidRPr="00CE1695">
              <w:rPr>
                <w:rFonts w:cs="Arial"/>
                <w:bCs/>
                <w:sz w:val="22"/>
                <w:szCs w:val="22"/>
              </w:rPr>
              <w:t>stock of THN kit</w:t>
            </w:r>
            <w:r w:rsidR="00784869" w:rsidRPr="00CE1695">
              <w:rPr>
                <w:rFonts w:cs="Arial"/>
                <w:bCs/>
                <w:sz w:val="22"/>
                <w:szCs w:val="22"/>
              </w:rPr>
              <w:t>s</w:t>
            </w:r>
            <w:r w:rsidR="003C55DE" w:rsidRPr="00CE1695">
              <w:rPr>
                <w:rFonts w:cs="Arial"/>
                <w:bCs/>
                <w:sz w:val="22"/>
                <w:szCs w:val="22"/>
              </w:rPr>
              <w:t>.</w:t>
            </w:r>
          </w:p>
          <w:p w14:paraId="2A626692" w14:textId="7F995AAB" w:rsidR="00EA4D9B" w:rsidRPr="00CE1695" w:rsidRDefault="00EA4D9B" w:rsidP="009379C4">
            <w:pPr>
              <w:pStyle w:val="ListParagraph"/>
              <w:numPr>
                <w:ilvl w:val="0"/>
                <w:numId w:val="14"/>
              </w:numPr>
              <w:jc w:val="left"/>
              <w:rPr>
                <w:rFonts w:cs="Arial"/>
                <w:bCs/>
                <w:sz w:val="22"/>
                <w:szCs w:val="22"/>
              </w:rPr>
            </w:pPr>
            <w:r w:rsidRPr="00CE1695">
              <w:rPr>
                <w:rFonts w:cs="Arial"/>
                <w:bCs/>
                <w:sz w:val="22"/>
                <w:szCs w:val="22"/>
              </w:rPr>
              <w:t xml:space="preserve">Ensure that they maintain clear and regular communications with the THN kits </w:t>
            </w:r>
            <w:r w:rsidR="00D128F9" w:rsidRPr="00CE1695">
              <w:rPr>
                <w:rFonts w:cs="Arial"/>
                <w:bCs/>
                <w:sz w:val="22"/>
                <w:szCs w:val="22"/>
              </w:rPr>
              <w:t>suppli</w:t>
            </w:r>
            <w:r w:rsidRPr="00CE1695">
              <w:rPr>
                <w:rFonts w:cs="Arial"/>
                <w:bCs/>
                <w:sz w:val="22"/>
                <w:szCs w:val="22"/>
              </w:rPr>
              <w:t xml:space="preserve">er </w:t>
            </w:r>
            <w:r w:rsidR="00784869" w:rsidRPr="00CE1695">
              <w:rPr>
                <w:rFonts w:cs="Arial"/>
                <w:bCs/>
                <w:sz w:val="22"/>
                <w:szCs w:val="22"/>
              </w:rPr>
              <w:t xml:space="preserve">(Orion Medical Supplies Ltd.) </w:t>
            </w:r>
            <w:r w:rsidRPr="00CE1695">
              <w:rPr>
                <w:rFonts w:cs="Arial"/>
                <w:bCs/>
                <w:sz w:val="22"/>
                <w:szCs w:val="22"/>
              </w:rPr>
              <w:t>to ensure that stock of THN kits is appropriately maintained.</w:t>
            </w:r>
          </w:p>
          <w:p w14:paraId="3F568F9C" w14:textId="4C227DA8" w:rsidR="008E7ED7" w:rsidRPr="00CE1695" w:rsidRDefault="008E7ED7" w:rsidP="00AC4C16">
            <w:pPr>
              <w:pStyle w:val="ListParagraph"/>
              <w:numPr>
                <w:ilvl w:val="0"/>
                <w:numId w:val="14"/>
              </w:numPr>
              <w:rPr>
                <w:bCs/>
                <w:color w:val="000000"/>
                <w:sz w:val="22"/>
                <w:szCs w:val="22"/>
              </w:rPr>
            </w:pPr>
            <w:r w:rsidRPr="00CE1695">
              <w:rPr>
                <w:rFonts w:cs="Arial"/>
                <w:sz w:val="22"/>
                <w:szCs w:val="22"/>
              </w:rPr>
              <w:t xml:space="preserve">Promote harm reduction </w:t>
            </w:r>
            <w:r w:rsidR="003C55DE" w:rsidRPr="00CE1695">
              <w:rPr>
                <w:rFonts w:cs="Arial"/>
                <w:sz w:val="22"/>
                <w:szCs w:val="22"/>
              </w:rPr>
              <w:t xml:space="preserve">and/or facilitate access to </w:t>
            </w:r>
            <w:r w:rsidR="00492B28">
              <w:rPr>
                <w:rFonts w:cs="Arial"/>
                <w:sz w:val="22"/>
                <w:szCs w:val="22"/>
              </w:rPr>
              <w:t>drug treatment</w:t>
            </w:r>
            <w:r w:rsidR="003C55DE" w:rsidRPr="00CE1695">
              <w:rPr>
                <w:rFonts w:cs="Arial"/>
                <w:sz w:val="22"/>
                <w:szCs w:val="22"/>
              </w:rPr>
              <w:t xml:space="preserve"> and</w:t>
            </w:r>
            <w:r w:rsidR="00492B28">
              <w:rPr>
                <w:rFonts w:cs="Arial"/>
                <w:sz w:val="22"/>
                <w:szCs w:val="22"/>
              </w:rPr>
              <w:t>/or</w:t>
            </w:r>
            <w:r w:rsidR="003C55DE" w:rsidRPr="00CE1695">
              <w:rPr>
                <w:rFonts w:cs="Arial"/>
                <w:sz w:val="22"/>
                <w:szCs w:val="22"/>
              </w:rPr>
              <w:t xml:space="preserve"> other Public Health services, as appropriat</w:t>
            </w:r>
            <w:r w:rsidRPr="00CE1695">
              <w:rPr>
                <w:rFonts w:cs="Arial"/>
                <w:sz w:val="22"/>
                <w:szCs w:val="22"/>
              </w:rPr>
              <w:t>e.</w:t>
            </w:r>
          </w:p>
          <w:p w14:paraId="2462B823" w14:textId="45AAD3EE" w:rsidR="00EA4D9B" w:rsidRPr="00CE1695" w:rsidRDefault="00EA4D9B" w:rsidP="009379C4">
            <w:pPr>
              <w:pStyle w:val="ListParagraph"/>
              <w:numPr>
                <w:ilvl w:val="0"/>
                <w:numId w:val="14"/>
              </w:numPr>
              <w:jc w:val="left"/>
              <w:rPr>
                <w:rFonts w:cs="Arial"/>
                <w:bCs/>
                <w:sz w:val="22"/>
                <w:szCs w:val="22"/>
              </w:rPr>
            </w:pPr>
            <w:r w:rsidRPr="00CE1695">
              <w:rPr>
                <w:rFonts w:cs="Arial"/>
                <w:bCs/>
                <w:sz w:val="22"/>
                <w:szCs w:val="22"/>
              </w:rPr>
              <w:t xml:space="preserve">Ensure that the </w:t>
            </w:r>
            <w:r w:rsidR="00BC74BF">
              <w:rPr>
                <w:rFonts w:cs="Arial"/>
                <w:bCs/>
                <w:sz w:val="22"/>
                <w:szCs w:val="22"/>
              </w:rPr>
              <w:t>at-risk individual</w:t>
            </w:r>
            <w:r w:rsidRPr="00CE1695">
              <w:rPr>
                <w:rFonts w:cs="Arial"/>
                <w:bCs/>
                <w:sz w:val="22"/>
                <w:szCs w:val="22"/>
              </w:rPr>
              <w:t xml:space="preserve"> is not knowingly allergic to naloxone or any other of the </w:t>
            </w:r>
            <w:r w:rsidR="00784869" w:rsidRPr="00CE1695">
              <w:rPr>
                <w:rFonts w:cs="Arial"/>
                <w:bCs/>
                <w:sz w:val="22"/>
                <w:szCs w:val="22"/>
              </w:rPr>
              <w:t xml:space="preserve">THN </w:t>
            </w:r>
            <w:r w:rsidRPr="00CE1695">
              <w:rPr>
                <w:rFonts w:cs="Arial"/>
                <w:bCs/>
                <w:sz w:val="22"/>
                <w:szCs w:val="22"/>
              </w:rPr>
              <w:t>product ingredients.</w:t>
            </w:r>
          </w:p>
          <w:p w14:paraId="69AB9DE3" w14:textId="171B17DC" w:rsidR="009379C4" w:rsidRPr="00CE1695" w:rsidRDefault="006C2DDB" w:rsidP="00AC4C16">
            <w:pPr>
              <w:numPr>
                <w:ilvl w:val="0"/>
                <w:numId w:val="14"/>
              </w:numPr>
              <w:shd w:val="clear" w:color="auto" w:fill="FFFFFF"/>
              <w:suppressAutoHyphens w:val="0"/>
              <w:spacing w:after="75"/>
              <w:jc w:val="left"/>
              <w:rPr>
                <w:rFonts w:cs="Arial"/>
                <w:sz w:val="22"/>
                <w:szCs w:val="22"/>
                <w:lang w:eastAsia="en-GB"/>
              </w:rPr>
            </w:pPr>
            <w:r w:rsidRPr="00CE1695">
              <w:rPr>
                <w:rFonts w:cs="Arial"/>
                <w:sz w:val="22"/>
                <w:szCs w:val="22"/>
                <w:lang w:eastAsia="en-GB"/>
              </w:rPr>
              <w:t xml:space="preserve">Ensure that each </w:t>
            </w:r>
            <w:r w:rsidR="00995B4C" w:rsidRPr="00CE1695">
              <w:rPr>
                <w:rFonts w:cs="Arial"/>
                <w:sz w:val="22"/>
                <w:szCs w:val="22"/>
                <w:lang w:eastAsia="en-GB"/>
              </w:rPr>
              <w:t xml:space="preserve">THN kit supplied </w:t>
            </w:r>
            <w:r w:rsidRPr="00CE1695">
              <w:rPr>
                <w:rFonts w:cs="Arial"/>
                <w:sz w:val="22"/>
                <w:szCs w:val="22"/>
                <w:lang w:eastAsia="en-GB"/>
              </w:rPr>
              <w:t xml:space="preserve">is appropriately </w:t>
            </w:r>
            <w:r w:rsidR="009379C4" w:rsidRPr="00CE1695">
              <w:rPr>
                <w:rFonts w:cs="Arial"/>
                <w:sz w:val="22"/>
                <w:szCs w:val="22"/>
                <w:lang w:eastAsia="en-GB"/>
              </w:rPr>
              <w:t xml:space="preserve">labelled using pre-printed </w:t>
            </w:r>
            <w:r w:rsidR="00995B4C" w:rsidRPr="00CE1695">
              <w:rPr>
                <w:rFonts w:cs="Arial"/>
                <w:sz w:val="22"/>
                <w:szCs w:val="22"/>
                <w:lang w:eastAsia="en-GB"/>
              </w:rPr>
              <w:t>p</w:t>
            </w:r>
            <w:r w:rsidRPr="00CE1695">
              <w:rPr>
                <w:rFonts w:cs="Arial"/>
                <w:sz w:val="22"/>
                <w:szCs w:val="22"/>
                <w:lang w:eastAsia="en-GB"/>
              </w:rPr>
              <w:t xml:space="preserve">harmacy </w:t>
            </w:r>
            <w:r w:rsidR="009379C4" w:rsidRPr="00CE1695">
              <w:rPr>
                <w:rFonts w:cs="Arial"/>
                <w:sz w:val="22"/>
                <w:szCs w:val="22"/>
                <w:lang w:eastAsia="en-GB"/>
              </w:rPr>
              <w:t>labels</w:t>
            </w:r>
            <w:r w:rsidR="00256829" w:rsidRPr="00CE1695">
              <w:rPr>
                <w:rFonts w:cs="Arial"/>
                <w:sz w:val="22"/>
                <w:szCs w:val="22"/>
                <w:lang w:eastAsia="en-GB"/>
              </w:rPr>
              <w:t>.</w:t>
            </w:r>
            <w:r w:rsidR="009379C4" w:rsidRPr="00CE1695">
              <w:rPr>
                <w:rFonts w:cs="Arial"/>
                <w:sz w:val="22"/>
                <w:szCs w:val="22"/>
                <w:lang w:eastAsia="en-GB"/>
              </w:rPr>
              <w:t xml:space="preserve"> </w:t>
            </w:r>
            <w:r w:rsidR="00256829" w:rsidRPr="00CE1695">
              <w:rPr>
                <w:rFonts w:cs="Arial"/>
                <w:sz w:val="22"/>
                <w:szCs w:val="22"/>
                <w:lang w:eastAsia="en-GB"/>
              </w:rPr>
              <w:t>The label must</w:t>
            </w:r>
            <w:r w:rsidR="009379C4" w:rsidRPr="00CE1695">
              <w:rPr>
                <w:rFonts w:cs="Arial"/>
                <w:sz w:val="22"/>
                <w:szCs w:val="22"/>
                <w:lang w:eastAsia="en-GB"/>
              </w:rPr>
              <w:t xml:space="preserve"> not obscure important information</w:t>
            </w:r>
            <w:r w:rsidR="00995B4C" w:rsidRPr="00CE1695">
              <w:rPr>
                <w:rFonts w:cs="Arial"/>
                <w:sz w:val="22"/>
                <w:szCs w:val="22"/>
                <w:lang w:eastAsia="en-GB"/>
              </w:rPr>
              <w:t xml:space="preserve"> (</w:t>
            </w:r>
            <w:r w:rsidR="009379C4" w:rsidRPr="00CE1695">
              <w:rPr>
                <w:rFonts w:cs="Arial"/>
                <w:sz w:val="22"/>
                <w:szCs w:val="22"/>
                <w:lang w:eastAsia="en-GB"/>
              </w:rPr>
              <w:t>such as expiry date</w:t>
            </w:r>
            <w:r w:rsidR="00995B4C" w:rsidRPr="00CE1695">
              <w:rPr>
                <w:rFonts w:cs="Arial"/>
                <w:sz w:val="22"/>
                <w:szCs w:val="22"/>
                <w:lang w:eastAsia="en-GB"/>
              </w:rPr>
              <w:t>)</w:t>
            </w:r>
            <w:r w:rsidR="009379C4" w:rsidRPr="00CE1695">
              <w:rPr>
                <w:rFonts w:cs="Arial"/>
                <w:sz w:val="22"/>
                <w:szCs w:val="22"/>
                <w:lang w:eastAsia="en-GB"/>
              </w:rPr>
              <w:t xml:space="preserve"> or affect the opening of the</w:t>
            </w:r>
            <w:r w:rsidR="00995B4C" w:rsidRPr="00CE1695">
              <w:rPr>
                <w:rFonts w:cs="Arial"/>
                <w:sz w:val="22"/>
                <w:szCs w:val="22"/>
                <w:lang w:eastAsia="en-GB"/>
              </w:rPr>
              <w:t xml:space="preserve"> THN pack</w:t>
            </w:r>
            <w:r w:rsidR="009379C4" w:rsidRPr="00CE1695">
              <w:rPr>
                <w:rFonts w:cs="Arial"/>
                <w:sz w:val="22"/>
                <w:szCs w:val="22"/>
                <w:lang w:eastAsia="en-GB"/>
              </w:rPr>
              <w:t>. The label</w:t>
            </w:r>
            <w:r w:rsidR="00D128F9" w:rsidRPr="00CE1695">
              <w:rPr>
                <w:rFonts w:cs="Arial"/>
                <w:sz w:val="22"/>
                <w:szCs w:val="22"/>
                <w:lang w:eastAsia="en-GB"/>
              </w:rPr>
              <w:t xml:space="preserve"> should </w:t>
            </w:r>
            <w:r w:rsidR="009379C4" w:rsidRPr="00CE1695">
              <w:rPr>
                <w:rFonts w:cs="Arial"/>
                <w:sz w:val="22"/>
                <w:szCs w:val="22"/>
                <w:lang w:eastAsia="en-GB"/>
              </w:rPr>
              <w:t>includ</w:t>
            </w:r>
            <w:r w:rsidR="00D128F9" w:rsidRPr="00CE1695">
              <w:rPr>
                <w:rFonts w:cs="Arial"/>
                <w:sz w:val="22"/>
                <w:szCs w:val="22"/>
                <w:lang w:eastAsia="en-GB"/>
              </w:rPr>
              <w:t>e</w:t>
            </w:r>
            <w:r w:rsidR="009379C4" w:rsidRPr="00CE1695">
              <w:rPr>
                <w:rFonts w:cs="Arial"/>
                <w:sz w:val="22"/>
                <w:szCs w:val="22"/>
                <w:lang w:eastAsia="en-GB"/>
              </w:rPr>
              <w:t xml:space="preserve"> the date of supply and the supplying </w:t>
            </w:r>
            <w:r w:rsidR="00995B4C" w:rsidRPr="00CE1695">
              <w:rPr>
                <w:rFonts w:cs="Arial"/>
                <w:sz w:val="22"/>
                <w:szCs w:val="22"/>
                <w:lang w:eastAsia="en-GB"/>
              </w:rPr>
              <w:t>pharmacy</w:t>
            </w:r>
            <w:r w:rsidR="009379C4" w:rsidRPr="00CE1695">
              <w:rPr>
                <w:rFonts w:cs="Arial"/>
                <w:sz w:val="22"/>
                <w:szCs w:val="22"/>
                <w:lang w:eastAsia="en-GB"/>
              </w:rPr>
              <w:t xml:space="preserve"> name. </w:t>
            </w:r>
            <w:r w:rsidR="00995B4C" w:rsidRPr="00CE1695">
              <w:rPr>
                <w:rFonts w:cs="Arial"/>
                <w:sz w:val="22"/>
                <w:szCs w:val="22"/>
                <w:lang w:eastAsia="en-GB"/>
              </w:rPr>
              <w:t>THN s</w:t>
            </w:r>
            <w:r w:rsidR="009379C4" w:rsidRPr="00CE1695">
              <w:rPr>
                <w:rFonts w:cs="Arial"/>
                <w:sz w:val="22"/>
                <w:szCs w:val="22"/>
                <w:lang w:eastAsia="en-GB"/>
              </w:rPr>
              <w:t xml:space="preserve">upplies </w:t>
            </w:r>
            <w:r w:rsidR="00995B4C" w:rsidRPr="00CE1695">
              <w:rPr>
                <w:rFonts w:cs="Arial"/>
                <w:sz w:val="22"/>
                <w:szCs w:val="22"/>
                <w:lang w:eastAsia="en-GB"/>
              </w:rPr>
              <w:t>should be</w:t>
            </w:r>
            <w:r w:rsidR="009379C4" w:rsidRPr="00CE1695">
              <w:rPr>
                <w:rFonts w:cs="Arial"/>
                <w:sz w:val="22"/>
                <w:szCs w:val="22"/>
                <w:lang w:eastAsia="en-GB"/>
              </w:rPr>
              <w:t xml:space="preserve"> anonymised </w:t>
            </w:r>
            <w:r w:rsidR="00995B4C" w:rsidRPr="00CE1695">
              <w:rPr>
                <w:rFonts w:cs="Arial"/>
                <w:sz w:val="22"/>
                <w:szCs w:val="22"/>
                <w:lang w:eastAsia="en-GB"/>
              </w:rPr>
              <w:t xml:space="preserve">and </w:t>
            </w:r>
            <w:r w:rsidR="009379C4" w:rsidRPr="00CE1695">
              <w:rPr>
                <w:rFonts w:cs="Arial"/>
                <w:sz w:val="22"/>
                <w:szCs w:val="22"/>
                <w:lang w:eastAsia="en-GB"/>
              </w:rPr>
              <w:t xml:space="preserve">so the </w:t>
            </w:r>
            <w:r w:rsidR="00995B4C" w:rsidRPr="00CE1695">
              <w:rPr>
                <w:rFonts w:cs="Arial"/>
                <w:sz w:val="22"/>
                <w:szCs w:val="22"/>
                <w:lang w:eastAsia="en-GB"/>
              </w:rPr>
              <w:t>label should not include the</w:t>
            </w:r>
            <w:r w:rsidR="00256829" w:rsidRPr="00CE1695">
              <w:rPr>
                <w:rFonts w:cs="Arial"/>
                <w:sz w:val="22"/>
                <w:szCs w:val="22"/>
                <w:lang w:eastAsia="en-GB"/>
              </w:rPr>
              <w:t xml:space="preserve"> recipient</w:t>
            </w:r>
            <w:r w:rsidR="00995B4C" w:rsidRPr="00CE1695">
              <w:rPr>
                <w:rFonts w:cs="Arial"/>
                <w:sz w:val="22"/>
                <w:szCs w:val="22"/>
                <w:lang w:eastAsia="en-GB"/>
              </w:rPr>
              <w:t>’s personal information.</w:t>
            </w:r>
          </w:p>
          <w:p w14:paraId="7A3EE037" w14:textId="77777777" w:rsidR="00EA4D9B" w:rsidRPr="00CE1695" w:rsidRDefault="00EA4D9B" w:rsidP="00EA4D9B">
            <w:pPr>
              <w:jc w:val="left"/>
              <w:rPr>
                <w:rFonts w:cs="Arial"/>
                <w:bCs/>
                <w:sz w:val="22"/>
                <w:szCs w:val="22"/>
              </w:rPr>
            </w:pPr>
          </w:p>
          <w:p w14:paraId="45A149EF" w14:textId="3D849708" w:rsidR="00FA7372" w:rsidRPr="00CE1695" w:rsidRDefault="00E3144D" w:rsidP="00EA4D9B">
            <w:pPr>
              <w:jc w:val="left"/>
              <w:rPr>
                <w:rFonts w:cs="Arial"/>
                <w:b/>
                <w:sz w:val="22"/>
                <w:szCs w:val="22"/>
              </w:rPr>
            </w:pPr>
            <w:r w:rsidRPr="00CE1695">
              <w:rPr>
                <w:rFonts w:cs="Arial"/>
                <w:b/>
                <w:sz w:val="22"/>
                <w:szCs w:val="22"/>
              </w:rPr>
              <w:t xml:space="preserve">2.3.3 </w:t>
            </w:r>
            <w:r w:rsidR="00227461" w:rsidRPr="00CE1695">
              <w:rPr>
                <w:rFonts w:cs="Arial"/>
                <w:b/>
                <w:sz w:val="22"/>
                <w:szCs w:val="22"/>
              </w:rPr>
              <w:t>Training</w:t>
            </w:r>
            <w:r w:rsidR="00781415" w:rsidRPr="00CE1695">
              <w:rPr>
                <w:rFonts w:cs="Arial"/>
                <w:b/>
                <w:sz w:val="22"/>
                <w:szCs w:val="22"/>
              </w:rPr>
              <w:t xml:space="preserve"> </w:t>
            </w:r>
            <w:r w:rsidR="00995B4C" w:rsidRPr="00CE1695">
              <w:rPr>
                <w:rFonts w:cs="Arial"/>
                <w:b/>
                <w:sz w:val="22"/>
                <w:szCs w:val="22"/>
              </w:rPr>
              <w:t>f</w:t>
            </w:r>
            <w:r w:rsidR="00E16186" w:rsidRPr="00CE1695">
              <w:rPr>
                <w:rFonts w:cs="Arial"/>
                <w:b/>
                <w:sz w:val="22"/>
                <w:szCs w:val="22"/>
              </w:rPr>
              <w:t>or Service Providers</w:t>
            </w:r>
          </w:p>
          <w:p w14:paraId="23097731" w14:textId="587DA716" w:rsidR="00AC56B9" w:rsidRPr="00CE1695" w:rsidRDefault="00AC56B9" w:rsidP="00AC4C16">
            <w:pPr>
              <w:pStyle w:val="ListParagraph"/>
              <w:numPr>
                <w:ilvl w:val="0"/>
                <w:numId w:val="53"/>
              </w:numPr>
              <w:jc w:val="left"/>
              <w:rPr>
                <w:rFonts w:cs="Arial"/>
                <w:bCs/>
                <w:sz w:val="22"/>
                <w:szCs w:val="22"/>
              </w:rPr>
            </w:pPr>
            <w:r w:rsidRPr="00CE1695">
              <w:rPr>
                <w:rFonts w:cs="Arial"/>
                <w:bCs/>
                <w:sz w:val="22"/>
                <w:szCs w:val="22"/>
              </w:rPr>
              <w:lastRenderedPageBreak/>
              <w:t xml:space="preserve">The Lead Pharmacist/ Staff member must ensure that they have successfully completed the </w:t>
            </w:r>
            <w:r w:rsidRPr="00CE1695">
              <w:rPr>
                <w:rFonts w:cs="Arial"/>
                <w:b/>
                <w:sz w:val="22"/>
                <w:szCs w:val="22"/>
              </w:rPr>
              <w:t xml:space="preserve">Addiction Professionals </w:t>
            </w:r>
            <w:proofErr w:type="spellStart"/>
            <w:r w:rsidRPr="00CE1695">
              <w:rPr>
                <w:rFonts w:cs="Arial"/>
                <w:b/>
                <w:sz w:val="22"/>
                <w:szCs w:val="22"/>
              </w:rPr>
              <w:t>FreeLearn</w:t>
            </w:r>
            <w:proofErr w:type="spellEnd"/>
            <w:r w:rsidRPr="00CE1695">
              <w:rPr>
                <w:rFonts w:cs="Arial"/>
                <w:b/>
                <w:sz w:val="22"/>
                <w:szCs w:val="22"/>
              </w:rPr>
              <w:t xml:space="preserve"> – Naloxone Saves Lives</w:t>
            </w:r>
            <w:r w:rsidRPr="00CE1695">
              <w:rPr>
                <w:rFonts w:cs="Arial"/>
                <w:bCs/>
                <w:sz w:val="22"/>
                <w:szCs w:val="22"/>
              </w:rPr>
              <w:t xml:space="preserve"> prior to delivery of this Service. </w:t>
            </w:r>
            <w:r w:rsidR="00D128F9" w:rsidRPr="00CE1695">
              <w:rPr>
                <w:rFonts w:cs="Arial"/>
                <w:bCs/>
                <w:sz w:val="22"/>
                <w:szCs w:val="22"/>
              </w:rPr>
              <w:t>T</w:t>
            </w:r>
            <w:r w:rsidRPr="00CE1695">
              <w:rPr>
                <w:rFonts w:cs="Arial"/>
                <w:bCs/>
                <w:sz w:val="22"/>
                <w:szCs w:val="22"/>
              </w:rPr>
              <w:t xml:space="preserve">he training can be accessed here: </w:t>
            </w:r>
            <w:hyperlink r:id="rId10" w:history="1">
              <w:r w:rsidRPr="00CE1695">
                <w:rPr>
                  <w:rStyle w:val="Hyperlink"/>
                  <w:rFonts w:cs="Arial"/>
                  <w:bCs/>
                  <w:sz w:val="22"/>
                  <w:szCs w:val="22"/>
                </w:rPr>
                <w:t>https://www.ap-elearning.org.uk/course/index.php?categoryid=2</w:t>
              </w:r>
            </w:hyperlink>
            <w:r w:rsidRPr="00CE1695">
              <w:rPr>
                <w:rFonts w:cs="Arial"/>
                <w:bCs/>
                <w:sz w:val="22"/>
                <w:szCs w:val="22"/>
              </w:rPr>
              <w:t xml:space="preserve"> (you will need to register prior to completing the course)</w:t>
            </w:r>
            <w:r w:rsidRPr="00CE1695">
              <w:rPr>
                <w:rFonts w:cs="Arial"/>
                <w:bCs/>
                <w:color w:val="000000" w:themeColor="text1"/>
                <w:sz w:val="22"/>
                <w:szCs w:val="22"/>
              </w:rPr>
              <w:t xml:space="preserve">. </w:t>
            </w:r>
          </w:p>
          <w:p w14:paraId="3340AA6B" w14:textId="39CBF23B" w:rsidR="00633AA3" w:rsidRPr="00CE1695" w:rsidRDefault="00AC56B9" w:rsidP="00AC4C16">
            <w:pPr>
              <w:pStyle w:val="ListParagraph"/>
              <w:numPr>
                <w:ilvl w:val="0"/>
                <w:numId w:val="52"/>
              </w:numPr>
              <w:jc w:val="left"/>
              <w:rPr>
                <w:rFonts w:cs="Arial"/>
                <w:bCs/>
                <w:sz w:val="22"/>
                <w:szCs w:val="22"/>
              </w:rPr>
            </w:pPr>
            <w:r w:rsidRPr="00CE1695">
              <w:rPr>
                <w:rFonts w:cs="Arial"/>
                <w:sz w:val="22"/>
                <w:szCs w:val="22"/>
              </w:rPr>
              <w:t>The Lead Pharmacist/ Staff member must also undertake the web-based learning packages for the three THN products</w:t>
            </w:r>
            <w:r w:rsidR="00D128F9" w:rsidRPr="00CE1695">
              <w:rPr>
                <w:rFonts w:cs="Arial"/>
                <w:sz w:val="22"/>
                <w:szCs w:val="22"/>
              </w:rPr>
              <w:t xml:space="preserve"> available from</w:t>
            </w:r>
            <w:r w:rsidRPr="00CE1695">
              <w:rPr>
                <w:rFonts w:cs="Arial"/>
                <w:sz w:val="22"/>
                <w:szCs w:val="22"/>
              </w:rPr>
              <w:t xml:space="preserve"> Orion Medical Supplies Ltd</w:t>
            </w:r>
            <w:r w:rsidR="00633AA3" w:rsidRPr="00CE1695">
              <w:rPr>
                <w:rFonts w:cs="Arial"/>
                <w:sz w:val="22"/>
                <w:szCs w:val="22"/>
              </w:rPr>
              <w:t>.</w:t>
            </w:r>
            <w:r w:rsidR="00BC74BF">
              <w:rPr>
                <w:rFonts w:cs="Arial"/>
                <w:sz w:val="22"/>
                <w:szCs w:val="22"/>
              </w:rPr>
              <w:t>,</w:t>
            </w:r>
            <w:r w:rsidR="00633AA3" w:rsidRPr="00CE1695">
              <w:rPr>
                <w:rFonts w:cs="Arial"/>
                <w:sz w:val="22"/>
                <w:szCs w:val="22"/>
              </w:rPr>
              <w:t xml:space="preserve"> which can be accessed here</w:t>
            </w:r>
            <w:r w:rsidRPr="00CE1695">
              <w:rPr>
                <w:rFonts w:cs="Arial"/>
                <w:sz w:val="22"/>
                <w:szCs w:val="22"/>
              </w:rPr>
              <w:t>:</w:t>
            </w:r>
            <w:r w:rsidR="00633AA3" w:rsidRPr="00CE1695">
              <w:rPr>
                <w:rFonts w:cs="Arial"/>
                <w:sz w:val="22"/>
                <w:szCs w:val="22"/>
              </w:rPr>
              <w:t xml:space="preserve"> </w:t>
            </w:r>
            <w:hyperlink r:id="rId11" w:history="1">
              <w:r w:rsidR="00633AA3" w:rsidRPr="00CE1695">
                <w:rPr>
                  <w:rStyle w:val="Hyperlink"/>
                  <w:rFonts w:cs="Arial"/>
                  <w:sz w:val="22"/>
                  <w:szCs w:val="22"/>
                </w:rPr>
                <w:t>https://orionmedical.co.uk/product-category/naloxone/</w:t>
              </w:r>
            </w:hyperlink>
          </w:p>
          <w:p w14:paraId="41E49052" w14:textId="77777777" w:rsidR="00633AA3" w:rsidRPr="00CE1695" w:rsidRDefault="00633AA3" w:rsidP="00633AA3">
            <w:pPr>
              <w:jc w:val="left"/>
              <w:rPr>
                <w:rFonts w:cs="Arial"/>
                <w:bCs/>
                <w:sz w:val="22"/>
                <w:szCs w:val="22"/>
              </w:rPr>
            </w:pPr>
          </w:p>
          <w:p w14:paraId="3F4A2CBE" w14:textId="0E4AC51D" w:rsidR="000D2D09" w:rsidRPr="00CE1695" w:rsidRDefault="000D2D09" w:rsidP="000D2D09">
            <w:pPr>
              <w:jc w:val="left"/>
              <w:rPr>
                <w:rFonts w:cs="Arial"/>
                <w:b/>
                <w:sz w:val="22"/>
                <w:szCs w:val="22"/>
              </w:rPr>
            </w:pPr>
            <w:r w:rsidRPr="00CE1695">
              <w:rPr>
                <w:rFonts w:cs="Arial"/>
                <w:b/>
                <w:sz w:val="22"/>
                <w:szCs w:val="22"/>
              </w:rPr>
              <w:t>2.3.</w:t>
            </w:r>
            <w:r w:rsidR="006C2DDB" w:rsidRPr="00CE1695">
              <w:rPr>
                <w:rFonts w:cs="Arial"/>
                <w:b/>
                <w:sz w:val="22"/>
                <w:szCs w:val="22"/>
              </w:rPr>
              <w:t>4</w:t>
            </w:r>
            <w:r w:rsidRPr="00CE1695">
              <w:rPr>
                <w:rFonts w:cs="Arial"/>
                <w:b/>
                <w:sz w:val="22"/>
                <w:szCs w:val="22"/>
              </w:rPr>
              <w:t xml:space="preserve"> Safe Storage and Disposal of THN </w:t>
            </w:r>
            <w:r w:rsidR="00995B4C" w:rsidRPr="00CE1695">
              <w:rPr>
                <w:rFonts w:cs="Arial"/>
                <w:b/>
                <w:sz w:val="22"/>
                <w:szCs w:val="22"/>
              </w:rPr>
              <w:t>S</w:t>
            </w:r>
            <w:r w:rsidRPr="00CE1695">
              <w:rPr>
                <w:rFonts w:cs="Arial"/>
                <w:b/>
                <w:sz w:val="22"/>
                <w:szCs w:val="22"/>
              </w:rPr>
              <w:t>upplies</w:t>
            </w:r>
          </w:p>
          <w:p w14:paraId="1BA34DF7" w14:textId="77777777" w:rsidR="000D2D09" w:rsidRPr="00CE1695" w:rsidRDefault="000D2D09" w:rsidP="000D2D09">
            <w:pPr>
              <w:jc w:val="left"/>
              <w:rPr>
                <w:rFonts w:cs="Arial"/>
                <w:bCs/>
                <w:sz w:val="22"/>
                <w:szCs w:val="22"/>
              </w:rPr>
            </w:pPr>
            <w:r w:rsidRPr="00CE1695">
              <w:rPr>
                <w:rFonts w:cs="Arial"/>
                <w:bCs/>
                <w:sz w:val="22"/>
                <w:szCs w:val="22"/>
              </w:rPr>
              <w:t>Naloxone has been subjected to stability studies at 40 degrees centigrade which showed the product shelf life was fully compliant at this temperature for up to 6 months, however, it should be protected from light.</w:t>
            </w:r>
          </w:p>
          <w:p w14:paraId="62F2C782" w14:textId="09136D7E" w:rsidR="000D2D09" w:rsidRPr="00CE1695" w:rsidRDefault="000D2D09" w:rsidP="000D2D09">
            <w:pPr>
              <w:jc w:val="left"/>
              <w:rPr>
                <w:rFonts w:cs="Arial"/>
                <w:bCs/>
                <w:sz w:val="22"/>
                <w:szCs w:val="22"/>
              </w:rPr>
            </w:pPr>
            <w:r w:rsidRPr="00CE1695">
              <w:rPr>
                <w:rFonts w:cs="Arial"/>
                <w:bCs/>
                <w:sz w:val="22"/>
                <w:szCs w:val="22"/>
              </w:rPr>
              <w:t>The Service Provider shall ensure that the THN kits are stored appropriately,</w:t>
            </w:r>
            <w:r w:rsidR="00EA3E07">
              <w:rPr>
                <w:rFonts w:cs="Arial"/>
                <w:bCs/>
                <w:sz w:val="22"/>
                <w:szCs w:val="22"/>
              </w:rPr>
              <w:t xml:space="preserve"> in their original packaging and</w:t>
            </w:r>
            <w:r w:rsidRPr="00CE1695">
              <w:rPr>
                <w:rFonts w:cs="Arial"/>
                <w:bCs/>
                <w:sz w:val="22"/>
                <w:szCs w:val="22"/>
              </w:rPr>
              <w:t xml:space="preserve"> in line with the manufacturer</w:t>
            </w:r>
            <w:r w:rsidR="00167B00" w:rsidRPr="00CE1695">
              <w:rPr>
                <w:rFonts w:cs="Arial"/>
                <w:bCs/>
                <w:sz w:val="22"/>
                <w:szCs w:val="22"/>
              </w:rPr>
              <w:t>’</w:t>
            </w:r>
            <w:r w:rsidRPr="00CE1695">
              <w:rPr>
                <w:rFonts w:cs="Arial"/>
                <w:bCs/>
                <w:sz w:val="22"/>
                <w:szCs w:val="22"/>
              </w:rPr>
              <w:t xml:space="preserve">s requirements. Inappropriate storage and handling may shorten the shelf life. </w:t>
            </w:r>
            <w:r w:rsidR="00BC74BF">
              <w:rPr>
                <w:rFonts w:cs="Arial"/>
                <w:bCs/>
                <w:sz w:val="22"/>
                <w:szCs w:val="22"/>
              </w:rPr>
              <w:t>THN recipients</w:t>
            </w:r>
            <w:r w:rsidRPr="00CE1695">
              <w:rPr>
                <w:rFonts w:cs="Arial"/>
                <w:bCs/>
                <w:sz w:val="22"/>
                <w:szCs w:val="22"/>
              </w:rPr>
              <w:t xml:space="preserve"> must also be advised of appropriate storage conditions and to keep the THN kit out-of-reach of children and pets.</w:t>
            </w:r>
          </w:p>
          <w:p w14:paraId="2D9E8256" w14:textId="1BA7515E" w:rsidR="000D2D09" w:rsidRPr="00CE1695" w:rsidRDefault="00167B00" w:rsidP="000D2D09">
            <w:pPr>
              <w:jc w:val="left"/>
              <w:rPr>
                <w:rFonts w:cs="Arial"/>
                <w:bCs/>
                <w:sz w:val="22"/>
                <w:szCs w:val="22"/>
              </w:rPr>
            </w:pPr>
            <w:bookmarkStart w:id="3" w:name="_Hlk163467598"/>
            <w:r w:rsidRPr="00CE1695">
              <w:rPr>
                <w:rFonts w:cs="Arial"/>
                <w:bCs/>
                <w:sz w:val="22"/>
                <w:szCs w:val="22"/>
              </w:rPr>
              <w:t>Recipients of THN kits</w:t>
            </w:r>
            <w:r w:rsidR="000D2D09" w:rsidRPr="00CE1695">
              <w:rPr>
                <w:rFonts w:cs="Arial"/>
                <w:bCs/>
                <w:sz w:val="22"/>
                <w:szCs w:val="22"/>
              </w:rPr>
              <w:t xml:space="preserve"> </w:t>
            </w:r>
            <w:r w:rsidR="00BC74BF">
              <w:rPr>
                <w:rFonts w:cs="Arial"/>
                <w:bCs/>
                <w:sz w:val="22"/>
                <w:szCs w:val="22"/>
              </w:rPr>
              <w:t xml:space="preserve">should </w:t>
            </w:r>
            <w:r w:rsidR="000D2D09" w:rsidRPr="00CE1695">
              <w:rPr>
                <w:rFonts w:cs="Arial"/>
                <w:bCs/>
                <w:sz w:val="22"/>
                <w:szCs w:val="22"/>
              </w:rPr>
              <w:t>be</w:t>
            </w:r>
            <w:r w:rsidR="00435BE9" w:rsidRPr="00CE1695">
              <w:rPr>
                <w:rFonts w:cs="Arial"/>
                <w:bCs/>
                <w:sz w:val="22"/>
                <w:szCs w:val="22"/>
              </w:rPr>
              <w:t xml:space="preserve"> encouraged </w:t>
            </w:r>
            <w:r w:rsidR="006C2DDB" w:rsidRPr="00CE1695">
              <w:rPr>
                <w:rFonts w:cs="Arial"/>
                <w:bCs/>
                <w:sz w:val="22"/>
                <w:szCs w:val="22"/>
              </w:rPr>
              <w:t>to return</w:t>
            </w:r>
            <w:r w:rsidR="000D2D09" w:rsidRPr="00CE1695">
              <w:rPr>
                <w:sz w:val="22"/>
                <w:szCs w:val="22"/>
              </w:rPr>
              <w:t xml:space="preserve"> used</w:t>
            </w:r>
            <w:r w:rsidR="00D128F9" w:rsidRPr="00CE1695">
              <w:rPr>
                <w:sz w:val="22"/>
                <w:szCs w:val="22"/>
              </w:rPr>
              <w:t>,</w:t>
            </w:r>
            <w:r w:rsidR="000D2D09" w:rsidRPr="00CE1695">
              <w:rPr>
                <w:sz w:val="22"/>
                <w:szCs w:val="22"/>
              </w:rPr>
              <w:t xml:space="preserve"> partially used</w:t>
            </w:r>
            <w:r w:rsidR="006C2DDB" w:rsidRPr="00CE1695">
              <w:rPr>
                <w:sz w:val="22"/>
                <w:szCs w:val="22"/>
              </w:rPr>
              <w:t>,</w:t>
            </w:r>
            <w:r w:rsidR="000D2D09" w:rsidRPr="00CE1695">
              <w:rPr>
                <w:sz w:val="22"/>
                <w:szCs w:val="22"/>
              </w:rPr>
              <w:t xml:space="preserve"> and expired</w:t>
            </w:r>
            <w:r w:rsidR="00995B4C" w:rsidRPr="00CE1695">
              <w:rPr>
                <w:sz w:val="22"/>
                <w:szCs w:val="22"/>
              </w:rPr>
              <w:t xml:space="preserve"> THN packs</w:t>
            </w:r>
            <w:r w:rsidR="00435BE9" w:rsidRPr="00CE1695">
              <w:rPr>
                <w:sz w:val="22"/>
                <w:szCs w:val="22"/>
              </w:rPr>
              <w:t xml:space="preserve"> to the Service for safe disposal and replacement (where </w:t>
            </w:r>
            <w:r w:rsidR="00BC74BF">
              <w:rPr>
                <w:sz w:val="22"/>
                <w:szCs w:val="22"/>
              </w:rPr>
              <w:t>available</w:t>
            </w:r>
            <w:r w:rsidR="00435BE9" w:rsidRPr="00CE1695">
              <w:rPr>
                <w:sz w:val="22"/>
                <w:szCs w:val="22"/>
              </w:rPr>
              <w:t>)</w:t>
            </w:r>
            <w:r w:rsidR="00B518B4" w:rsidRPr="00CE1695">
              <w:rPr>
                <w:sz w:val="22"/>
                <w:szCs w:val="22"/>
              </w:rPr>
              <w:t xml:space="preserve">. </w:t>
            </w:r>
            <w:r w:rsidR="009A1A3C" w:rsidRPr="00CE1695">
              <w:rPr>
                <w:sz w:val="22"/>
                <w:szCs w:val="22"/>
              </w:rPr>
              <w:t xml:space="preserve">Any used </w:t>
            </w:r>
            <w:proofErr w:type="spellStart"/>
            <w:r w:rsidR="00BC74BF">
              <w:rPr>
                <w:sz w:val="22"/>
                <w:szCs w:val="22"/>
              </w:rPr>
              <w:t>Prenoxad</w:t>
            </w:r>
            <w:proofErr w:type="spellEnd"/>
            <w:r w:rsidR="00BC74BF" w:rsidRPr="00CE1695">
              <w:rPr>
                <w:sz w:val="22"/>
                <w:szCs w:val="22"/>
              </w:rPr>
              <w:t xml:space="preserve"> </w:t>
            </w:r>
            <w:r w:rsidR="009A1A3C" w:rsidRPr="00CE1695">
              <w:rPr>
                <w:sz w:val="22"/>
                <w:szCs w:val="22"/>
              </w:rPr>
              <w:t xml:space="preserve">syringes returned to the pharmacy should be in a sealed sharps bin or a sealed </w:t>
            </w:r>
            <w:proofErr w:type="spellStart"/>
            <w:r w:rsidR="009A1A3C" w:rsidRPr="00CE1695">
              <w:rPr>
                <w:sz w:val="22"/>
                <w:szCs w:val="22"/>
              </w:rPr>
              <w:t>Prenoxad</w:t>
            </w:r>
            <w:proofErr w:type="spellEnd"/>
            <w:r w:rsidR="009A1A3C" w:rsidRPr="00CE1695">
              <w:rPr>
                <w:sz w:val="22"/>
                <w:szCs w:val="22"/>
              </w:rPr>
              <w:t xml:space="preserve"> case, which </w:t>
            </w:r>
            <w:r w:rsidR="00FF40F7">
              <w:rPr>
                <w:sz w:val="22"/>
                <w:szCs w:val="22"/>
              </w:rPr>
              <w:t>should be disposed of in the</w:t>
            </w:r>
            <w:r w:rsidR="009A1A3C" w:rsidRPr="00CE1695">
              <w:rPr>
                <w:sz w:val="22"/>
                <w:szCs w:val="22"/>
              </w:rPr>
              <w:t xml:space="preserve"> sharps waste.</w:t>
            </w:r>
          </w:p>
          <w:bookmarkEnd w:id="3"/>
          <w:p w14:paraId="76280F2D" w14:textId="77777777" w:rsidR="0047041A" w:rsidRPr="00CE1695" w:rsidRDefault="0047041A" w:rsidP="00EA4D9B">
            <w:pPr>
              <w:jc w:val="left"/>
              <w:rPr>
                <w:rFonts w:cs="Arial"/>
                <w:b/>
                <w:sz w:val="22"/>
                <w:szCs w:val="22"/>
              </w:rPr>
            </w:pPr>
          </w:p>
          <w:p w14:paraId="29932E51" w14:textId="69904843" w:rsidR="007D23EE" w:rsidRPr="00CE1695" w:rsidRDefault="007D23EE" w:rsidP="007D23EE">
            <w:pPr>
              <w:jc w:val="left"/>
              <w:rPr>
                <w:rFonts w:cs="Arial"/>
                <w:b/>
                <w:sz w:val="22"/>
                <w:szCs w:val="22"/>
              </w:rPr>
            </w:pPr>
            <w:r w:rsidRPr="00CE1695">
              <w:rPr>
                <w:rFonts w:cs="Arial"/>
                <w:b/>
                <w:sz w:val="22"/>
                <w:szCs w:val="22"/>
              </w:rPr>
              <w:t>2.3.</w:t>
            </w:r>
            <w:r w:rsidR="001D7EBC" w:rsidRPr="00CE1695">
              <w:rPr>
                <w:rFonts w:cs="Arial"/>
                <w:b/>
                <w:sz w:val="22"/>
                <w:szCs w:val="22"/>
              </w:rPr>
              <w:t>5</w:t>
            </w:r>
            <w:r w:rsidRPr="00CE1695">
              <w:rPr>
                <w:rFonts w:cs="Arial"/>
                <w:b/>
                <w:sz w:val="22"/>
                <w:szCs w:val="22"/>
              </w:rPr>
              <w:t xml:space="preserve"> Expired THN Supplies</w:t>
            </w:r>
          </w:p>
          <w:p w14:paraId="3D49237E" w14:textId="2E7E57A8" w:rsidR="0047041A" w:rsidRPr="00CE1695" w:rsidRDefault="007D23EE" w:rsidP="00EA4D9B">
            <w:pPr>
              <w:jc w:val="left"/>
              <w:rPr>
                <w:rFonts w:cs="Arial"/>
                <w:bCs/>
                <w:sz w:val="22"/>
                <w:szCs w:val="22"/>
              </w:rPr>
            </w:pPr>
            <w:r w:rsidRPr="00CE1695">
              <w:rPr>
                <w:rFonts w:cs="Arial"/>
                <w:bCs/>
                <w:sz w:val="22"/>
                <w:szCs w:val="22"/>
              </w:rPr>
              <w:t xml:space="preserve">Naloxone has a shelf life of 2-3 years. With each supply of </w:t>
            </w:r>
            <w:r w:rsidR="001D7EBC" w:rsidRPr="00CE1695">
              <w:rPr>
                <w:rFonts w:cs="Arial"/>
                <w:bCs/>
                <w:sz w:val="22"/>
                <w:szCs w:val="22"/>
              </w:rPr>
              <w:t>THN</w:t>
            </w:r>
            <w:r w:rsidRPr="00CE1695">
              <w:rPr>
                <w:rFonts w:cs="Arial"/>
                <w:bCs/>
                <w:sz w:val="22"/>
                <w:szCs w:val="22"/>
              </w:rPr>
              <w:t>, The Service Provider must note the expiry date of the THN kit, and this date must be told to the r</w:t>
            </w:r>
            <w:r w:rsidR="00EA3E07">
              <w:rPr>
                <w:rFonts w:cs="Arial"/>
                <w:bCs/>
                <w:sz w:val="22"/>
                <w:szCs w:val="22"/>
              </w:rPr>
              <w:t>ecipient</w:t>
            </w:r>
            <w:r w:rsidRPr="00CE1695">
              <w:rPr>
                <w:rFonts w:cs="Arial"/>
                <w:bCs/>
                <w:sz w:val="22"/>
                <w:szCs w:val="22"/>
              </w:rPr>
              <w:t>. Recipients of THN kits should be encouraged to return the THN kit to the Service before the expiry date, to collect a further supply (where availab</w:t>
            </w:r>
            <w:r w:rsidR="00435BE9" w:rsidRPr="00CE1695">
              <w:rPr>
                <w:rFonts w:cs="Arial"/>
                <w:bCs/>
                <w:sz w:val="22"/>
                <w:szCs w:val="22"/>
              </w:rPr>
              <w:t>le</w:t>
            </w:r>
            <w:r w:rsidRPr="00CE1695">
              <w:rPr>
                <w:rFonts w:cs="Arial"/>
                <w:bCs/>
                <w:sz w:val="22"/>
                <w:szCs w:val="22"/>
              </w:rPr>
              <w:t xml:space="preserve">). Expired THN kits should immediately be appropriately disposed. Returned </w:t>
            </w:r>
            <w:r w:rsidRPr="00CE1695">
              <w:rPr>
                <w:rFonts w:cs="Arial"/>
                <w:bCs/>
                <w:sz w:val="22"/>
                <w:szCs w:val="22"/>
                <w:u w:val="single"/>
              </w:rPr>
              <w:t>sealed</w:t>
            </w:r>
            <w:r w:rsidRPr="00CE1695">
              <w:rPr>
                <w:rFonts w:cs="Arial"/>
                <w:bCs/>
                <w:sz w:val="22"/>
                <w:szCs w:val="22"/>
              </w:rPr>
              <w:t xml:space="preserve"> THN kits can be used for demonstration or for staff training purposes.</w:t>
            </w:r>
          </w:p>
          <w:p w14:paraId="53440FB3" w14:textId="77777777" w:rsidR="000D2D09" w:rsidRPr="00CE1695" w:rsidRDefault="000D2D09" w:rsidP="00EA4D9B">
            <w:pPr>
              <w:jc w:val="left"/>
              <w:rPr>
                <w:rFonts w:cs="Arial"/>
                <w:b/>
                <w:sz w:val="22"/>
                <w:szCs w:val="22"/>
              </w:rPr>
            </w:pPr>
          </w:p>
          <w:p w14:paraId="44486E30" w14:textId="4B2D463D" w:rsidR="00EA4D9B" w:rsidRPr="00CE1695" w:rsidRDefault="00EA4D9B" w:rsidP="00EA4D9B">
            <w:pPr>
              <w:jc w:val="left"/>
              <w:rPr>
                <w:rFonts w:cs="Arial"/>
                <w:b/>
                <w:sz w:val="22"/>
                <w:szCs w:val="22"/>
              </w:rPr>
            </w:pPr>
            <w:r w:rsidRPr="00CE1695">
              <w:rPr>
                <w:rFonts w:cs="Arial"/>
                <w:b/>
                <w:sz w:val="22"/>
                <w:szCs w:val="22"/>
              </w:rPr>
              <w:t>2.</w:t>
            </w:r>
            <w:r w:rsidR="002F3FE2" w:rsidRPr="00CE1695">
              <w:rPr>
                <w:rFonts w:cs="Arial"/>
                <w:b/>
                <w:sz w:val="22"/>
                <w:szCs w:val="22"/>
              </w:rPr>
              <w:t>3.</w:t>
            </w:r>
            <w:r w:rsidR="00E3144D" w:rsidRPr="00CE1695">
              <w:rPr>
                <w:rFonts w:cs="Arial"/>
                <w:b/>
                <w:sz w:val="22"/>
                <w:szCs w:val="22"/>
              </w:rPr>
              <w:t>6</w:t>
            </w:r>
            <w:r w:rsidRPr="00CE1695">
              <w:rPr>
                <w:rFonts w:cs="Arial"/>
                <w:b/>
                <w:sz w:val="22"/>
                <w:szCs w:val="22"/>
              </w:rPr>
              <w:t xml:space="preserve"> Product Recall</w:t>
            </w:r>
          </w:p>
          <w:p w14:paraId="29B7F6DD" w14:textId="78EB6EC7" w:rsidR="00EA4D9B" w:rsidRPr="00CE1695" w:rsidRDefault="00EA4D9B" w:rsidP="00EA4D9B">
            <w:pPr>
              <w:jc w:val="left"/>
              <w:rPr>
                <w:rFonts w:cs="Arial"/>
                <w:bCs/>
                <w:sz w:val="22"/>
                <w:szCs w:val="22"/>
              </w:rPr>
            </w:pPr>
            <w:bookmarkStart w:id="4" w:name="_Hlk163470054"/>
            <w:r w:rsidRPr="00CE1695">
              <w:rPr>
                <w:rFonts w:cs="Arial"/>
                <w:bCs/>
                <w:sz w:val="22"/>
                <w:szCs w:val="22"/>
              </w:rPr>
              <w:t>Recipients of THN kits should be made aware of product recall procedures</w:t>
            </w:r>
            <w:r w:rsidR="00D128F9" w:rsidRPr="00CE1695">
              <w:rPr>
                <w:rFonts w:cs="Arial"/>
                <w:bCs/>
                <w:sz w:val="22"/>
                <w:szCs w:val="22"/>
              </w:rPr>
              <w:t>,</w:t>
            </w:r>
            <w:r w:rsidRPr="00CE1695">
              <w:rPr>
                <w:rFonts w:cs="Arial"/>
                <w:bCs/>
                <w:sz w:val="22"/>
                <w:szCs w:val="22"/>
              </w:rPr>
              <w:t xml:space="preserve"> should a product recall be issued for a specific batch</w:t>
            </w:r>
            <w:bookmarkEnd w:id="4"/>
            <w:r w:rsidRPr="00CE1695">
              <w:rPr>
                <w:rFonts w:cs="Arial"/>
                <w:bCs/>
                <w:sz w:val="22"/>
                <w:szCs w:val="22"/>
              </w:rPr>
              <w:t xml:space="preserve">. Should a product recall alert be received from the THN kits supplier to the Council, the lead officer for the Council will cascade the alert and affected batch numbers to the Service Providers. </w:t>
            </w:r>
            <w:r w:rsidR="00EA3E07">
              <w:rPr>
                <w:rFonts w:cs="Arial"/>
                <w:bCs/>
                <w:sz w:val="22"/>
                <w:szCs w:val="22"/>
              </w:rPr>
              <w:t>It is t</w:t>
            </w:r>
            <w:r w:rsidRPr="00CE1695">
              <w:rPr>
                <w:rFonts w:cs="Arial"/>
                <w:bCs/>
                <w:sz w:val="22"/>
                <w:szCs w:val="22"/>
              </w:rPr>
              <w:t xml:space="preserve">he </w:t>
            </w:r>
            <w:r w:rsidR="00EA3E07">
              <w:rPr>
                <w:rFonts w:cs="Arial"/>
                <w:bCs/>
                <w:sz w:val="22"/>
                <w:szCs w:val="22"/>
              </w:rPr>
              <w:t xml:space="preserve">responsibility of the </w:t>
            </w:r>
            <w:r w:rsidRPr="00CE1695">
              <w:rPr>
                <w:rFonts w:cs="Arial"/>
                <w:bCs/>
                <w:sz w:val="22"/>
                <w:szCs w:val="22"/>
              </w:rPr>
              <w:t>Service Provider</w:t>
            </w:r>
            <w:r w:rsidR="00435BE9" w:rsidRPr="00CE1695">
              <w:rPr>
                <w:rFonts w:cs="Arial"/>
                <w:bCs/>
                <w:sz w:val="22"/>
                <w:szCs w:val="22"/>
              </w:rPr>
              <w:t xml:space="preserve"> </w:t>
            </w:r>
            <w:r w:rsidR="00EA3E07">
              <w:rPr>
                <w:rFonts w:cs="Arial"/>
                <w:bCs/>
                <w:sz w:val="22"/>
                <w:szCs w:val="22"/>
              </w:rPr>
              <w:t>to</w:t>
            </w:r>
            <w:r w:rsidRPr="00CE1695">
              <w:rPr>
                <w:rFonts w:cs="Arial"/>
                <w:bCs/>
                <w:sz w:val="22"/>
                <w:szCs w:val="22"/>
              </w:rPr>
              <w:t xml:space="preserve"> mak</w:t>
            </w:r>
            <w:r w:rsidR="00435BE9" w:rsidRPr="00CE1695">
              <w:rPr>
                <w:rFonts w:cs="Arial"/>
                <w:bCs/>
                <w:sz w:val="22"/>
                <w:szCs w:val="22"/>
              </w:rPr>
              <w:t>e</w:t>
            </w:r>
            <w:r w:rsidRPr="00CE1695">
              <w:rPr>
                <w:rFonts w:cs="Arial"/>
                <w:bCs/>
                <w:sz w:val="22"/>
                <w:szCs w:val="22"/>
              </w:rPr>
              <w:t xml:space="preserve"> every attempt possible to </w:t>
            </w:r>
            <w:r w:rsidR="00BC74BF">
              <w:rPr>
                <w:rFonts w:cs="Arial"/>
                <w:bCs/>
                <w:sz w:val="22"/>
                <w:szCs w:val="22"/>
              </w:rPr>
              <w:t>contac</w:t>
            </w:r>
            <w:r w:rsidRPr="00CE1695">
              <w:rPr>
                <w:rFonts w:cs="Arial"/>
                <w:bCs/>
                <w:sz w:val="22"/>
                <w:szCs w:val="22"/>
              </w:rPr>
              <w:t xml:space="preserve">t the recipient/s of </w:t>
            </w:r>
            <w:r w:rsidR="00BC74BF">
              <w:rPr>
                <w:rFonts w:cs="Arial"/>
                <w:bCs/>
                <w:sz w:val="22"/>
                <w:szCs w:val="22"/>
              </w:rPr>
              <w:t xml:space="preserve">the </w:t>
            </w:r>
            <w:r w:rsidRPr="00CE1695">
              <w:rPr>
                <w:rFonts w:cs="Arial"/>
                <w:bCs/>
                <w:sz w:val="22"/>
                <w:szCs w:val="22"/>
              </w:rPr>
              <w:t>recalled batch and encourag</w:t>
            </w:r>
            <w:r w:rsidR="000C05A8" w:rsidRPr="00CE1695">
              <w:rPr>
                <w:rFonts w:cs="Arial"/>
                <w:bCs/>
                <w:sz w:val="22"/>
                <w:szCs w:val="22"/>
              </w:rPr>
              <w:t>e</w:t>
            </w:r>
            <w:r w:rsidRPr="00CE1695">
              <w:rPr>
                <w:rFonts w:cs="Arial"/>
                <w:bCs/>
                <w:sz w:val="22"/>
                <w:szCs w:val="22"/>
              </w:rPr>
              <w:t xml:space="preserve"> them to return their supply for replacement. Recalled supplies should be labelled appropriately and quarantined, awaiting collection and replacement</w:t>
            </w:r>
            <w:r w:rsidR="001D7EBC" w:rsidRPr="00CE1695">
              <w:rPr>
                <w:rFonts w:cs="Arial"/>
                <w:bCs/>
                <w:sz w:val="22"/>
                <w:szCs w:val="22"/>
              </w:rPr>
              <w:t xml:space="preserve"> from the supplier</w:t>
            </w:r>
            <w:r w:rsidRPr="00CE1695">
              <w:rPr>
                <w:rFonts w:cs="Arial"/>
                <w:bCs/>
                <w:sz w:val="22"/>
                <w:szCs w:val="22"/>
              </w:rPr>
              <w:t xml:space="preserve">, in line with MHRA guidance: </w:t>
            </w:r>
            <w:hyperlink r:id="rId12" w:history="1">
              <w:r w:rsidRPr="00CE1695">
                <w:rPr>
                  <w:rStyle w:val="Hyperlink"/>
                  <w:rFonts w:cs="Arial"/>
                  <w:bCs/>
                  <w:sz w:val="22"/>
                  <w:szCs w:val="22"/>
                </w:rPr>
                <w:t>https://www.gov.uk/government/publications/a-guide-to-defective-medicinal-products</w:t>
              </w:r>
            </w:hyperlink>
            <w:r w:rsidRPr="00CE1695">
              <w:rPr>
                <w:rFonts w:cs="Arial"/>
                <w:bCs/>
                <w:sz w:val="22"/>
                <w:szCs w:val="22"/>
              </w:rPr>
              <w:t>.</w:t>
            </w:r>
          </w:p>
          <w:p w14:paraId="11864472" w14:textId="7B05C113" w:rsidR="00EA4D9B" w:rsidRPr="00CE1695" w:rsidRDefault="00EA4D9B" w:rsidP="00EA4D9B">
            <w:pPr>
              <w:jc w:val="left"/>
              <w:rPr>
                <w:rFonts w:cs="Arial"/>
                <w:bCs/>
                <w:sz w:val="22"/>
                <w:szCs w:val="22"/>
              </w:rPr>
            </w:pPr>
            <w:r w:rsidRPr="00CE1695">
              <w:rPr>
                <w:rFonts w:cs="Arial"/>
                <w:bCs/>
                <w:sz w:val="22"/>
                <w:szCs w:val="22"/>
              </w:rPr>
              <w:t xml:space="preserve">The Service Provider is responsible for contacting the </w:t>
            </w:r>
            <w:r w:rsidR="001D7EBC" w:rsidRPr="00CE1695">
              <w:rPr>
                <w:rFonts w:cs="Arial"/>
                <w:bCs/>
                <w:sz w:val="22"/>
                <w:szCs w:val="22"/>
              </w:rPr>
              <w:t>THN kits s</w:t>
            </w:r>
            <w:r w:rsidRPr="00CE1695">
              <w:rPr>
                <w:rFonts w:cs="Arial"/>
                <w:bCs/>
                <w:sz w:val="22"/>
                <w:szCs w:val="22"/>
              </w:rPr>
              <w:t xml:space="preserve">upplier </w:t>
            </w:r>
            <w:r w:rsidR="004A1932" w:rsidRPr="00CE1695">
              <w:rPr>
                <w:rFonts w:cs="Arial"/>
                <w:bCs/>
                <w:sz w:val="22"/>
                <w:szCs w:val="22"/>
              </w:rPr>
              <w:t xml:space="preserve">(Orion Medical Supplies Ltd.) </w:t>
            </w:r>
            <w:r w:rsidRPr="00CE1695">
              <w:rPr>
                <w:rFonts w:cs="Arial"/>
                <w:bCs/>
                <w:sz w:val="22"/>
                <w:szCs w:val="22"/>
              </w:rPr>
              <w:t xml:space="preserve">for </w:t>
            </w:r>
            <w:r w:rsidR="001D7EBC" w:rsidRPr="00CE1695">
              <w:rPr>
                <w:rFonts w:cs="Arial"/>
                <w:bCs/>
                <w:sz w:val="22"/>
                <w:szCs w:val="22"/>
              </w:rPr>
              <w:t>the collection</w:t>
            </w:r>
            <w:r w:rsidRPr="00CE1695">
              <w:rPr>
                <w:rFonts w:cs="Arial"/>
                <w:bCs/>
                <w:sz w:val="22"/>
                <w:szCs w:val="22"/>
              </w:rPr>
              <w:t xml:space="preserve"> and replacement of recalled stock.</w:t>
            </w:r>
          </w:p>
          <w:p w14:paraId="4B13981A" w14:textId="77777777" w:rsidR="00C548C8" w:rsidRPr="00CE1695" w:rsidRDefault="00C548C8" w:rsidP="00586FBC">
            <w:pPr>
              <w:suppressAutoHyphens w:val="0"/>
              <w:jc w:val="left"/>
              <w:rPr>
                <w:rFonts w:cs="Arial"/>
                <w:b/>
                <w:sz w:val="22"/>
                <w:szCs w:val="22"/>
              </w:rPr>
            </w:pPr>
          </w:p>
          <w:p w14:paraId="18A0F3D2" w14:textId="335A2C61" w:rsidR="00C548C8" w:rsidRPr="00CE1695" w:rsidRDefault="00C548C8" w:rsidP="00586FBC">
            <w:pPr>
              <w:suppressAutoHyphens w:val="0"/>
              <w:jc w:val="left"/>
              <w:rPr>
                <w:rFonts w:cs="Arial"/>
                <w:b/>
                <w:sz w:val="22"/>
                <w:szCs w:val="22"/>
              </w:rPr>
            </w:pPr>
            <w:r w:rsidRPr="00CE1695">
              <w:rPr>
                <w:rFonts w:cs="Arial"/>
                <w:b/>
                <w:sz w:val="22"/>
                <w:szCs w:val="22"/>
              </w:rPr>
              <w:t>2.3.</w:t>
            </w:r>
            <w:r w:rsidR="00E3144D" w:rsidRPr="00CE1695">
              <w:rPr>
                <w:rFonts w:cs="Arial"/>
                <w:b/>
                <w:sz w:val="22"/>
                <w:szCs w:val="22"/>
              </w:rPr>
              <w:t>7</w:t>
            </w:r>
            <w:r w:rsidRPr="00CE1695">
              <w:rPr>
                <w:rFonts w:cs="Arial"/>
                <w:b/>
                <w:sz w:val="22"/>
                <w:szCs w:val="22"/>
              </w:rPr>
              <w:t xml:space="preserve"> Commissioner Responsibilities</w:t>
            </w:r>
          </w:p>
          <w:p w14:paraId="7D779A55" w14:textId="39D1916B" w:rsidR="00D22065" w:rsidRPr="00CE1695" w:rsidRDefault="00435BE9" w:rsidP="009379C4">
            <w:pPr>
              <w:pStyle w:val="ListParagraph"/>
              <w:numPr>
                <w:ilvl w:val="0"/>
                <w:numId w:val="14"/>
              </w:numPr>
              <w:suppressAutoHyphens w:val="0"/>
              <w:jc w:val="left"/>
              <w:rPr>
                <w:rFonts w:cs="Arial"/>
                <w:b/>
                <w:sz w:val="22"/>
                <w:szCs w:val="22"/>
              </w:rPr>
            </w:pPr>
            <w:r w:rsidRPr="00CE1695">
              <w:rPr>
                <w:rFonts w:cs="Arial"/>
                <w:bCs/>
                <w:sz w:val="22"/>
                <w:szCs w:val="22"/>
              </w:rPr>
              <w:t>P</w:t>
            </w:r>
            <w:r w:rsidR="00D22065" w:rsidRPr="00CE1695">
              <w:rPr>
                <w:rFonts w:cs="Arial"/>
                <w:bCs/>
                <w:sz w:val="22"/>
                <w:szCs w:val="22"/>
              </w:rPr>
              <w:t xml:space="preserve">rovide the Service </w:t>
            </w:r>
            <w:r w:rsidR="001D7EBC" w:rsidRPr="00CE1695">
              <w:rPr>
                <w:rFonts w:cs="Arial"/>
                <w:bCs/>
                <w:sz w:val="22"/>
                <w:szCs w:val="22"/>
              </w:rPr>
              <w:t>P</w:t>
            </w:r>
            <w:r w:rsidR="00D22065" w:rsidRPr="00CE1695">
              <w:rPr>
                <w:rFonts w:cs="Arial"/>
                <w:bCs/>
                <w:sz w:val="22"/>
                <w:szCs w:val="22"/>
              </w:rPr>
              <w:t>rovider with THN kits, free of charge. The</w:t>
            </w:r>
            <w:r w:rsidRPr="00CE1695">
              <w:rPr>
                <w:rFonts w:cs="Arial"/>
                <w:bCs/>
                <w:sz w:val="22"/>
                <w:szCs w:val="22"/>
              </w:rPr>
              <w:t xml:space="preserve"> THN kits </w:t>
            </w:r>
            <w:r w:rsidR="001D7EBC" w:rsidRPr="00CE1695">
              <w:rPr>
                <w:rFonts w:cs="Arial"/>
                <w:bCs/>
                <w:sz w:val="22"/>
                <w:szCs w:val="22"/>
              </w:rPr>
              <w:t>suppli</w:t>
            </w:r>
            <w:r w:rsidRPr="00CE1695">
              <w:rPr>
                <w:rFonts w:cs="Arial"/>
                <w:bCs/>
                <w:sz w:val="22"/>
                <w:szCs w:val="22"/>
              </w:rPr>
              <w:t>er – currently Orion</w:t>
            </w:r>
            <w:r w:rsidR="001D7EBC" w:rsidRPr="00CE1695">
              <w:rPr>
                <w:rFonts w:cs="Arial"/>
                <w:bCs/>
                <w:sz w:val="22"/>
                <w:szCs w:val="22"/>
              </w:rPr>
              <w:t xml:space="preserve"> Medical Supplies Ltd.</w:t>
            </w:r>
            <w:r w:rsidRPr="00CE1695">
              <w:rPr>
                <w:rFonts w:cs="Arial"/>
                <w:bCs/>
                <w:sz w:val="22"/>
                <w:szCs w:val="22"/>
              </w:rPr>
              <w:t>,</w:t>
            </w:r>
            <w:r w:rsidR="00D22065" w:rsidRPr="00CE1695">
              <w:rPr>
                <w:rFonts w:cs="Arial"/>
                <w:bCs/>
                <w:sz w:val="22"/>
                <w:szCs w:val="22"/>
              </w:rPr>
              <w:t xml:space="preserve"> will arrange for the kits to be delivered to the pharmacy premises, at no cost to the Service Provider.</w:t>
            </w:r>
          </w:p>
          <w:p w14:paraId="1E165E6A" w14:textId="77777777" w:rsidR="00D22065" w:rsidRPr="00CE1695" w:rsidRDefault="00D22065" w:rsidP="009379C4">
            <w:pPr>
              <w:pStyle w:val="ListParagraph"/>
              <w:numPr>
                <w:ilvl w:val="0"/>
                <w:numId w:val="14"/>
              </w:numPr>
              <w:suppressAutoHyphens w:val="0"/>
              <w:jc w:val="left"/>
              <w:rPr>
                <w:rFonts w:cs="Arial"/>
                <w:b/>
                <w:sz w:val="22"/>
                <w:szCs w:val="22"/>
              </w:rPr>
            </w:pPr>
            <w:r w:rsidRPr="00CE1695">
              <w:rPr>
                <w:rFonts w:cs="Arial"/>
                <w:bCs/>
                <w:sz w:val="22"/>
                <w:szCs w:val="22"/>
              </w:rPr>
              <w:t>The Council or its agent may provide, without charge, supplies of associated posters/leaflets for promoting the service and harm reduction information.</w:t>
            </w:r>
          </w:p>
          <w:p w14:paraId="20A92D31" w14:textId="77777777" w:rsidR="00D22065" w:rsidRPr="00CE1695" w:rsidRDefault="00D22065" w:rsidP="009379C4">
            <w:pPr>
              <w:pStyle w:val="ListParagraph"/>
              <w:numPr>
                <w:ilvl w:val="0"/>
                <w:numId w:val="14"/>
              </w:numPr>
              <w:suppressAutoHyphens w:val="0"/>
              <w:jc w:val="left"/>
              <w:rPr>
                <w:rFonts w:cs="Arial"/>
                <w:b/>
                <w:sz w:val="22"/>
                <w:szCs w:val="22"/>
              </w:rPr>
            </w:pPr>
            <w:r w:rsidRPr="00CE1695">
              <w:rPr>
                <w:rFonts w:cs="Arial"/>
                <w:bCs/>
                <w:sz w:val="22"/>
                <w:szCs w:val="22"/>
              </w:rPr>
              <w:t>Provide a direct point of contact for the Service Provider</w:t>
            </w:r>
          </w:p>
          <w:p w14:paraId="0DEDA8E6" w14:textId="4D39BA28" w:rsidR="00C548C8" w:rsidRPr="00CE1695" w:rsidRDefault="00D22065" w:rsidP="00AC4C16">
            <w:pPr>
              <w:pStyle w:val="ListParagraph"/>
              <w:numPr>
                <w:ilvl w:val="0"/>
                <w:numId w:val="14"/>
              </w:numPr>
              <w:suppressAutoHyphens w:val="0"/>
              <w:jc w:val="left"/>
              <w:rPr>
                <w:rFonts w:cs="Arial"/>
                <w:b/>
                <w:sz w:val="22"/>
                <w:szCs w:val="22"/>
              </w:rPr>
            </w:pPr>
            <w:r w:rsidRPr="00CE1695">
              <w:rPr>
                <w:rFonts w:cs="Arial"/>
                <w:bCs/>
                <w:sz w:val="22"/>
                <w:szCs w:val="22"/>
              </w:rPr>
              <w:t>Provide details for referral points or signposting to other relevant services for Service Users</w:t>
            </w:r>
          </w:p>
          <w:p w14:paraId="269CCB95" w14:textId="77777777" w:rsidR="00586FBC" w:rsidRPr="00CE1695" w:rsidRDefault="00586FBC" w:rsidP="00586FBC">
            <w:pPr>
              <w:rPr>
                <w:rFonts w:cs="Arial"/>
                <w:bCs/>
                <w:color w:val="000000"/>
                <w:sz w:val="22"/>
                <w:szCs w:val="22"/>
              </w:rPr>
            </w:pPr>
          </w:p>
          <w:p w14:paraId="275D65A2" w14:textId="4984CC66" w:rsidR="00C548C8" w:rsidRPr="00CE1695" w:rsidRDefault="00C548C8" w:rsidP="00C548C8">
            <w:pPr>
              <w:rPr>
                <w:rFonts w:cs="Arial"/>
                <w:b/>
                <w:bCs/>
                <w:sz w:val="22"/>
                <w:szCs w:val="22"/>
              </w:rPr>
            </w:pPr>
            <w:r w:rsidRPr="00CE1695">
              <w:rPr>
                <w:rFonts w:cs="Arial"/>
                <w:b/>
                <w:bCs/>
                <w:sz w:val="22"/>
                <w:szCs w:val="22"/>
              </w:rPr>
              <w:t>2.3.</w:t>
            </w:r>
            <w:r w:rsidR="00E3144D" w:rsidRPr="00CE1695">
              <w:rPr>
                <w:rFonts w:cs="Arial"/>
                <w:b/>
                <w:bCs/>
                <w:sz w:val="22"/>
                <w:szCs w:val="22"/>
              </w:rPr>
              <w:t>8</w:t>
            </w:r>
            <w:r w:rsidRPr="00CE1695">
              <w:rPr>
                <w:rFonts w:cs="Arial"/>
                <w:b/>
                <w:bCs/>
                <w:sz w:val="22"/>
                <w:szCs w:val="22"/>
              </w:rPr>
              <w:t xml:space="preserve"> Population </w:t>
            </w:r>
            <w:r w:rsidR="001D7EBC" w:rsidRPr="00CE1695">
              <w:rPr>
                <w:rFonts w:cs="Arial"/>
                <w:b/>
                <w:bCs/>
                <w:sz w:val="22"/>
                <w:szCs w:val="22"/>
              </w:rPr>
              <w:t>C</w:t>
            </w:r>
            <w:r w:rsidRPr="00CE1695">
              <w:rPr>
                <w:rFonts w:cs="Arial"/>
                <w:b/>
                <w:bCs/>
                <w:sz w:val="22"/>
                <w:szCs w:val="22"/>
              </w:rPr>
              <w:t>overed</w:t>
            </w:r>
          </w:p>
          <w:p w14:paraId="4434A0C9" w14:textId="77777777" w:rsidR="001E276F" w:rsidRPr="00CE1695" w:rsidRDefault="00C548C8" w:rsidP="00C548C8">
            <w:pPr>
              <w:pStyle w:val="Default"/>
              <w:jc w:val="both"/>
              <w:rPr>
                <w:bCs/>
                <w:color w:val="auto"/>
                <w:sz w:val="22"/>
                <w:szCs w:val="22"/>
              </w:rPr>
            </w:pPr>
            <w:r w:rsidRPr="00CE1695">
              <w:rPr>
                <w:bCs/>
                <w:color w:val="auto"/>
                <w:sz w:val="22"/>
                <w:szCs w:val="22"/>
              </w:rPr>
              <w:t>The target group of people for the Service are Oxfordshire residents aged 18 years or older,</w:t>
            </w:r>
            <w:r w:rsidR="001E276F" w:rsidRPr="00CE1695">
              <w:rPr>
                <w:bCs/>
                <w:color w:val="auto"/>
                <w:sz w:val="22"/>
                <w:szCs w:val="22"/>
              </w:rPr>
              <w:t xml:space="preserve"> who are identified as at risk of an opioid overdose or who may witness an opioid overdose.</w:t>
            </w:r>
          </w:p>
          <w:p w14:paraId="7F989CE4" w14:textId="77777777" w:rsidR="001E276F" w:rsidRPr="00CE1695" w:rsidRDefault="001E276F" w:rsidP="00C548C8">
            <w:pPr>
              <w:pStyle w:val="Default"/>
              <w:jc w:val="both"/>
              <w:rPr>
                <w:bCs/>
                <w:color w:val="auto"/>
                <w:sz w:val="22"/>
                <w:szCs w:val="22"/>
              </w:rPr>
            </w:pPr>
          </w:p>
          <w:p w14:paraId="01FA4FFB" w14:textId="2EA766F0" w:rsidR="00706426" w:rsidRPr="00CE1695" w:rsidRDefault="00706426">
            <w:pPr>
              <w:pStyle w:val="Default"/>
              <w:rPr>
                <w:b/>
                <w:color w:val="auto"/>
                <w:sz w:val="22"/>
                <w:szCs w:val="22"/>
              </w:rPr>
            </w:pPr>
            <w:r w:rsidRPr="00CE1695">
              <w:rPr>
                <w:b/>
                <w:color w:val="auto"/>
                <w:sz w:val="22"/>
                <w:szCs w:val="22"/>
              </w:rPr>
              <w:lastRenderedPageBreak/>
              <w:t>2.3.</w:t>
            </w:r>
            <w:r w:rsidR="00E3144D" w:rsidRPr="00CE1695">
              <w:rPr>
                <w:b/>
                <w:color w:val="auto"/>
                <w:sz w:val="22"/>
                <w:szCs w:val="22"/>
              </w:rPr>
              <w:t>9</w:t>
            </w:r>
            <w:r w:rsidRPr="00CE1695">
              <w:rPr>
                <w:b/>
                <w:color w:val="auto"/>
                <w:sz w:val="22"/>
                <w:szCs w:val="22"/>
              </w:rPr>
              <w:t xml:space="preserve"> Acceptance and </w:t>
            </w:r>
            <w:r w:rsidR="001D7EBC" w:rsidRPr="00CE1695">
              <w:rPr>
                <w:b/>
                <w:color w:val="auto"/>
                <w:sz w:val="22"/>
                <w:szCs w:val="22"/>
              </w:rPr>
              <w:t>I</w:t>
            </w:r>
            <w:r w:rsidRPr="00CE1695">
              <w:rPr>
                <w:b/>
                <w:color w:val="auto"/>
                <w:sz w:val="22"/>
                <w:szCs w:val="22"/>
              </w:rPr>
              <w:t xml:space="preserve">nclusion </w:t>
            </w:r>
            <w:r w:rsidR="001D7EBC" w:rsidRPr="00CE1695">
              <w:rPr>
                <w:b/>
                <w:color w:val="auto"/>
                <w:sz w:val="22"/>
                <w:szCs w:val="22"/>
              </w:rPr>
              <w:t>C</w:t>
            </w:r>
            <w:r w:rsidRPr="00CE1695">
              <w:rPr>
                <w:b/>
                <w:color w:val="auto"/>
                <w:sz w:val="22"/>
                <w:szCs w:val="22"/>
              </w:rPr>
              <w:t xml:space="preserve">riteria and </w:t>
            </w:r>
            <w:r w:rsidR="001D7EBC" w:rsidRPr="00CE1695">
              <w:rPr>
                <w:b/>
                <w:color w:val="auto"/>
                <w:sz w:val="22"/>
                <w:szCs w:val="22"/>
              </w:rPr>
              <w:t>T</w:t>
            </w:r>
            <w:r w:rsidRPr="00CE1695">
              <w:rPr>
                <w:b/>
                <w:color w:val="auto"/>
                <w:sz w:val="22"/>
                <w:szCs w:val="22"/>
              </w:rPr>
              <w:t>hresholds</w:t>
            </w:r>
          </w:p>
          <w:p w14:paraId="4510B42B" w14:textId="5326FD3D" w:rsidR="00C548C8" w:rsidRPr="00CE1695" w:rsidRDefault="001E276F" w:rsidP="00AC4C16">
            <w:pPr>
              <w:pStyle w:val="Default"/>
              <w:rPr>
                <w:bCs/>
                <w:color w:val="auto"/>
                <w:sz w:val="22"/>
                <w:szCs w:val="22"/>
              </w:rPr>
            </w:pPr>
            <w:r w:rsidRPr="00CE1695">
              <w:rPr>
                <w:bCs/>
                <w:color w:val="auto"/>
                <w:sz w:val="22"/>
                <w:szCs w:val="22"/>
              </w:rPr>
              <w:t xml:space="preserve">There </w:t>
            </w:r>
            <w:r w:rsidR="00576947" w:rsidRPr="00CE1695">
              <w:rPr>
                <w:bCs/>
                <w:color w:val="auto"/>
                <w:sz w:val="22"/>
                <w:szCs w:val="22"/>
              </w:rPr>
              <w:t>is no legal restriction under the legislation on the supply to children or young persons of naloxone by a drug treatment service</w:t>
            </w:r>
            <w:r w:rsidR="00A45AFD">
              <w:rPr>
                <w:bCs/>
                <w:color w:val="auto"/>
                <w:sz w:val="22"/>
                <w:szCs w:val="22"/>
              </w:rPr>
              <w:t xml:space="preserve">. </w:t>
            </w:r>
            <w:r w:rsidR="00576947" w:rsidRPr="00CE1695">
              <w:rPr>
                <w:bCs/>
                <w:color w:val="auto"/>
                <w:sz w:val="22"/>
                <w:szCs w:val="22"/>
              </w:rPr>
              <w:t xml:space="preserve"> However, any decision to supply naloxone to a child would need very careful consideration and oversight </w:t>
            </w:r>
            <w:r w:rsidR="007937D9">
              <w:rPr>
                <w:bCs/>
                <w:color w:val="auto"/>
                <w:sz w:val="22"/>
                <w:szCs w:val="22"/>
              </w:rPr>
              <w:t>– in this c</w:t>
            </w:r>
            <w:r w:rsidR="007E3A1E">
              <w:rPr>
                <w:bCs/>
                <w:color w:val="auto"/>
                <w:sz w:val="22"/>
                <w:szCs w:val="22"/>
              </w:rPr>
              <w:t>ontext</w:t>
            </w:r>
            <w:r w:rsidR="007937D9">
              <w:rPr>
                <w:bCs/>
                <w:color w:val="auto"/>
                <w:sz w:val="22"/>
                <w:szCs w:val="22"/>
              </w:rPr>
              <w:t xml:space="preserve">, by the responsible pharmacist, </w:t>
            </w:r>
            <w:r w:rsidR="00576947" w:rsidRPr="00CE1695">
              <w:rPr>
                <w:bCs/>
                <w:color w:val="auto"/>
                <w:sz w:val="22"/>
                <w:szCs w:val="22"/>
              </w:rPr>
              <w:t>and would need to be made on a case</w:t>
            </w:r>
            <w:r w:rsidR="001D7EBC" w:rsidRPr="00CE1695">
              <w:rPr>
                <w:bCs/>
                <w:color w:val="auto"/>
                <w:sz w:val="22"/>
                <w:szCs w:val="22"/>
              </w:rPr>
              <w:t>-</w:t>
            </w:r>
            <w:r w:rsidR="00576947" w:rsidRPr="00CE1695">
              <w:rPr>
                <w:bCs/>
                <w:color w:val="auto"/>
                <w:sz w:val="22"/>
                <w:szCs w:val="22"/>
              </w:rPr>
              <w:t>by</w:t>
            </w:r>
            <w:r w:rsidR="001D7EBC" w:rsidRPr="00CE1695">
              <w:rPr>
                <w:bCs/>
                <w:color w:val="auto"/>
                <w:sz w:val="22"/>
                <w:szCs w:val="22"/>
              </w:rPr>
              <w:t>-</w:t>
            </w:r>
            <w:r w:rsidR="00576947" w:rsidRPr="00CE1695">
              <w:rPr>
                <w:bCs/>
                <w:color w:val="auto"/>
                <w:sz w:val="22"/>
                <w:szCs w:val="22"/>
              </w:rPr>
              <w:t>case basis</w:t>
            </w:r>
            <w:r w:rsidR="00576947" w:rsidRPr="00CE1695">
              <w:rPr>
                <w:rStyle w:val="FootnoteReference"/>
                <w:bCs/>
                <w:color w:val="auto"/>
                <w:sz w:val="22"/>
                <w:szCs w:val="22"/>
              </w:rPr>
              <w:footnoteReference w:id="5"/>
            </w:r>
            <w:r w:rsidR="00576947" w:rsidRPr="00CE1695">
              <w:rPr>
                <w:bCs/>
                <w:color w:val="auto"/>
                <w:sz w:val="22"/>
                <w:szCs w:val="22"/>
              </w:rPr>
              <w:t>.</w:t>
            </w:r>
            <w:r w:rsidR="00C548C8" w:rsidRPr="00CE1695">
              <w:rPr>
                <w:bCs/>
                <w:color w:val="auto"/>
                <w:sz w:val="22"/>
                <w:szCs w:val="22"/>
              </w:rPr>
              <w:t xml:space="preserve"> </w:t>
            </w:r>
            <w:r w:rsidR="00576947" w:rsidRPr="00CE1695">
              <w:rPr>
                <w:bCs/>
                <w:color w:val="auto"/>
                <w:sz w:val="22"/>
                <w:szCs w:val="22"/>
              </w:rPr>
              <w:t xml:space="preserve">Therefore, </w:t>
            </w:r>
            <w:r w:rsidR="00C83534" w:rsidRPr="00CE1695">
              <w:rPr>
                <w:bCs/>
                <w:color w:val="auto"/>
                <w:sz w:val="22"/>
                <w:szCs w:val="22"/>
              </w:rPr>
              <w:t>th</w:t>
            </w:r>
            <w:r w:rsidR="00232F99" w:rsidRPr="00CE1695">
              <w:rPr>
                <w:bCs/>
                <w:color w:val="auto"/>
                <w:sz w:val="22"/>
                <w:szCs w:val="22"/>
              </w:rPr>
              <w:t>is</w:t>
            </w:r>
            <w:r w:rsidR="00C83534" w:rsidRPr="00CE1695">
              <w:rPr>
                <w:bCs/>
                <w:color w:val="auto"/>
                <w:sz w:val="22"/>
                <w:szCs w:val="22"/>
              </w:rPr>
              <w:t xml:space="preserve"> Service allows the supply of a THN kit to</w:t>
            </w:r>
            <w:r w:rsidR="005C1C98" w:rsidRPr="00CE1695">
              <w:rPr>
                <w:bCs/>
                <w:color w:val="auto"/>
                <w:sz w:val="22"/>
                <w:szCs w:val="22"/>
              </w:rPr>
              <w:t xml:space="preserve"> </w:t>
            </w:r>
            <w:r w:rsidR="00C83534" w:rsidRPr="00CE1695">
              <w:rPr>
                <w:bCs/>
                <w:color w:val="auto"/>
                <w:sz w:val="22"/>
                <w:szCs w:val="22"/>
              </w:rPr>
              <w:t xml:space="preserve">individuals presenting to the pharmacy who wish to be provided with naloxone and are aged under 18 years, however, the </w:t>
            </w:r>
            <w:r w:rsidR="00F87152">
              <w:rPr>
                <w:bCs/>
                <w:color w:val="auto"/>
                <w:sz w:val="22"/>
                <w:szCs w:val="22"/>
              </w:rPr>
              <w:t>responsible pharmacist</w:t>
            </w:r>
            <w:r w:rsidR="00C83534" w:rsidRPr="00CE1695">
              <w:rPr>
                <w:bCs/>
                <w:color w:val="auto"/>
                <w:sz w:val="22"/>
                <w:szCs w:val="22"/>
              </w:rPr>
              <w:t xml:space="preserve"> </w:t>
            </w:r>
            <w:r w:rsidR="00C83534" w:rsidRPr="00CE1695">
              <w:rPr>
                <w:bCs/>
                <w:color w:val="auto"/>
                <w:sz w:val="22"/>
                <w:szCs w:val="22"/>
                <w:u w:val="single"/>
              </w:rPr>
              <w:t>must</w:t>
            </w:r>
            <w:r w:rsidR="00C83534" w:rsidRPr="00CE1695">
              <w:rPr>
                <w:bCs/>
                <w:color w:val="auto"/>
                <w:sz w:val="22"/>
                <w:szCs w:val="22"/>
              </w:rPr>
              <w:t xml:space="preserve"> collaborate with </w:t>
            </w:r>
            <w:r w:rsidR="00C83534" w:rsidRPr="00CE1695">
              <w:rPr>
                <w:bCs/>
                <w:sz w:val="22"/>
                <w:szCs w:val="22"/>
              </w:rPr>
              <w:t>the Council Commissioned Children and Young People</w:t>
            </w:r>
            <w:r w:rsidR="007E3A1E">
              <w:rPr>
                <w:bCs/>
                <w:sz w:val="22"/>
                <w:szCs w:val="22"/>
              </w:rPr>
              <w:t>’</w:t>
            </w:r>
            <w:r w:rsidR="00C83534" w:rsidRPr="00CE1695">
              <w:rPr>
                <w:bCs/>
                <w:sz w:val="22"/>
                <w:szCs w:val="22"/>
              </w:rPr>
              <w:t xml:space="preserve">s Substance </w:t>
            </w:r>
            <w:r w:rsidR="00852A36">
              <w:rPr>
                <w:bCs/>
                <w:sz w:val="22"/>
                <w:szCs w:val="22"/>
              </w:rPr>
              <w:t>U</w:t>
            </w:r>
            <w:r w:rsidR="00C83534" w:rsidRPr="00CE1695">
              <w:rPr>
                <w:bCs/>
                <w:sz w:val="22"/>
                <w:szCs w:val="22"/>
              </w:rPr>
              <w:t xml:space="preserve">se Service, currently provided by Cranstoun Here4YOUth. </w:t>
            </w:r>
            <w:r w:rsidR="00C83534" w:rsidRPr="00CE1695">
              <w:rPr>
                <w:bCs/>
                <w:color w:val="000000" w:themeColor="text1"/>
                <w:sz w:val="22"/>
                <w:szCs w:val="22"/>
              </w:rPr>
              <w:t>The case may also need to be raised with the Multi-</w:t>
            </w:r>
            <w:r w:rsidR="00C83534" w:rsidRPr="00CE1695">
              <w:rPr>
                <w:bCs/>
                <w:color w:val="auto"/>
                <w:sz w:val="22"/>
                <w:szCs w:val="22"/>
              </w:rPr>
              <w:t xml:space="preserve">Agency Safeguarding Hub (MASH). Details can be found at </w:t>
            </w:r>
            <w:hyperlink r:id="rId13" w:history="1">
              <w:r w:rsidR="00C83534" w:rsidRPr="00C70ABF">
                <w:rPr>
                  <w:rStyle w:val="Hyperlink"/>
                  <w:bCs/>
                  <w:sz w:val="22"/>
                  <w:szCs w:val="22"/>
                </w:rPr>
                <w:t>https://www.oxfordshire.gov.uk/cms/content/multi-agency-safeguarding-hub</w:t>
              </w:r>
            </w:hyperlink>
            <w:r w:rsidR="00C83534" w:rsidRPr="00C70ABF">
              <w:rPr>
                <w:bCs/>
                <w:color w:val="0000FF"/>
                <w:sz w:val="22"/>
                <w:szCs w:val="22"/>
              </w:rPr>
              <w:t>.</w:t>
            </w:r>
          </w:p>
          <w:p w14:paraId="389F701F" w14:textId="77777777" w:rsidR="00586FBC" w:rsidRPr="00CE1695" w:rsidRDefault="00586FBC" w:rsidP="00586FBC">
            <w:pPr>
              <w:rPr>
                <w:rFonts w:cs="Arial"/>
                <w:bCs/>
                <w:sz w:val="22"/>
                <w:szCs w:val="22"/>
              </w:rPr>
            </w:pPr>
          </w:p>
          <w:p w14:paraId="0DFBFB1D" w14:textId="0642330A" w:rsidR="00C94349" w:rsidRPr="00CE1695" w:rsidRDefault="00AC4C16">
            <w:pPr>
              <w:pStyle w:val="Default"/>
              <w:rPr>
                <w:color w:val="auto"/>
                <w:sz w:val="22"/>
                <w:szCs w:val="22"/>
              </w:rPr>
            </w:pPr>
            <w:r w:rsidRPr="00CE1695">
              <w:rPr>
                <w:sz w:val="22"/>
                <w:szCs w:val="22"/>
              </w:rPr>
              <w:t>There are no contraindications to administering naloxone</w:t>
            </w:r>
            <w:r w:rsidRPr="00CE1695">
              <w:rPr>
                <w:rStyle w:val="FootnoteReference"/>
                <w:color w:val="auto"/>
                <w:sz w:val="22"/>
                <w:szCs w:val="22"/>
              </w:rPr>
              <w:footnoteReference w:id="6"/>
            </w:r>
            <w:r w:rsidR="00C94349" w:rsidRPr="00CE1695">
              <w:rPr>
                <w:color w:val="auto"/>
                <w:sz w:val="22"/>
                <w:szCs w:val="22"/>
              </w:rPr>
              <w:t>,</w:t>
            </w:r>
            <w:r w:rsidR="009540CB" w:rsidRPr="00CE1695">
              <w:rPr>
                <w:color w:val="auto"/>
                <w:sz w:val="22"/>
                <w:szCs w:val="22"/>
              </w:rPr>
              <w:t xml:space="preserve"> but in some cases, caution</w:t>
            </w:r>
            <w:r w:rsidR="00C94349" w:rsidRPr="00CE1695">
              <w:rPr>
                <w:color w:val="auto"/>
                <w:sz w:val="22"/>
                <w:szCs w:val="22"/>
              </w:rPr>
              <w:t xml:space="preserve"> is advised</w:t>
            </w:r>
            <w:r w:rsidR="009540CB" w:rsidRPr="00CE1695">
              <w:rPr>
                <w:color w:val="auto"/>
                <w:sz w:val="22"/>
                <w:szCs w:val="22"/>
              </w:rPr>
              <w:t xml:space="preserve">. There are 3 relevant </w:t>
            </w:r>
            <w:r w:rsidR="001D7EBC" w:rsidRPr="00CE1695">
              <w:rPr>
                <w:color w:val="auto"/>
                <w:sz w:val="22"/>
                <w:szCs w:val="22"/>
              </w:rPr>
              <w:t>groups to which this applies</w:t>
            </w:r>
            <w:r w:rsidR="009540CB" w:rsidRPr="00CE1695">
              <w:rPr>
                <w:color w:val="auto"/>
                <w:sz w:val="22"/>
                <w:szCs w:val="22"/>
              </w:rPr>
              <w:t xml:space="preserve">: </w:t>
            </w:r>
          </w:p>
          <w:p w14:paraId="1F075E90" w14:textId="77777777" w:rsidR="00C94349" w:rsidRPr="00CE1695" w:rsidRDefault="009540CB" w:rsidP="009379C4">
            <w:pPr>
              <w:pStyle w:val="Default"/>
              <w:numPr>
                <w:ilvl w:val="0"/>
                <w:numId w:val="14"/>
              </w:numPr>
              <w:rPr>
                <w:color w:val="auto"/>
                <w:sz w:val="22"/>
                <w:szCs w:val="22"/>
              </w:rPr>
            </w:pPr>
            <w:r w:rsidRPr="00CE1695">
              <w:rPr>
                <w:color w:val="auto"/>
                <w:sz w:val="22"/>
                <w:szCs w:val="22"/>
              </w:rPr>
              <w:t xml:space="preserve">Pregnant women in </w:t>
            </w:r>
            <w:r w:rsidR="00C94349" w:rsidRPr="00CE1695">
              <w:rPr>
                <w:color w:val="auto"/>
                <w:sz w:val="22"/>
                <w:szCs w:val="22"/>
              </w:rPr>
              <w:t>thir</w:t>
            </w:r>
            <w:r w:rsidRPr="00CE1695">
              <w:rPr>
                <w:color w:val="auto"/>
                <w:sz w:val="22"/>
                <w:szCs w:val="22"/>
              </w:rPr>
              <w:t xml:space="preserve">d trimester, </w:t>
            </w:r>
          </w:p>
          <w:p w14:paraId="567B45EA" w14:textId="77777777" w:rsidR="00C94349" w:rsidRPr="00CE1695" w:rsidRDefault="00C94349" w:rsidP="009379C4">
            <w:pPr>
              <w:pStyle w:val="Default"/>
              <w:numPr>
                <w:ilvl w:val="0"/>
                <w:numId w:val="14"/>
              </w:numPr>
              <w:rPr>
                <w:color w:val="auto"/>
                <w:sz w:val="22"/>
                <w:szCs w:val="22"/>
              </w:rPr>
            </w:pPr>
            <w:r w:rsidRPr="00CE1695">
              <w:rPr>
                <w:color w:val="auto"/>
                <w:sz w:val="22"/>
                <w:szCs w:val="22"/>
              </w:rPr>
              <w:t>P</w:t>
            </w:r>
            <w:r w:rsidR="009540CB" w:rsidRPr="00CE1695">
              <w:rPr>
                <w:color w:val="auto"/>
                <w:sz w:val="22"/>
                <w:szCs w:val="22"/>
              </w:rPr>
              <w:t xml:space="preserve">eople with known, pre-existing cardiac issues, and </w:t>
            </w:r>
          </w:p>
          <w:p w14:paraId="361EFD13" w14:textId="33C0A7F4" w:rsidR="00C94349" w:rsidRPr="00CE1695" w:rsidRDefault="00C94349" w:rsidP="00AC4C16">
            <w:pPr>
              <w:pStyle w:val="Default"/>
              <w:numPr>
                <w:ilvl w:val="0"/>
                <w:numId w:val="14"/>
              </w:numPr>
              <w:rPr>
                <w:color w:val="auto"/>
                <w:sz w:val="22"/>
                <w:szCs w:val="22"/>
              </w:rPr>
            </w:pPr>
            <w:r w:rsidRPr="00CE1695">
              <w:rPr>
                <w:color w:val="auto"/>
                <w:sz w:val="22"/>
                <w:szCs w:val="22"/>
              </w:rPr>
              <w:t>T</w:t>
            </w:r>
            <w:r w:rsidR="009540CB" w:rsidRPr="00CE1695">
              <w:rPr>
                <w:color w:val="auto"/>
                <w:sz w:val="22"/>
                <w:szCs w:val="22"/>
              </w:rPr>
              <w:t xml:space="preserve">erminally ill cancer patients. </w:t>
            </w:r>
          </w:p>
          <w:p w14:paraId="75C48231" w14:textId="293C5632" w:rsidR="00900E47" w:rsidRPr="00CE1695" w:rsidRDefault="00900E47" w:rsidP="00900E47">
            <w:pPr>
              <w:pStyle w:val="Default"/>
              <w:rPr>
                <w:color w:val="auto"/>
                <w:sz w:val="22"/>
                <w:szCs w:val="22"/>
              </w:rPr>
            </w:pPr>
            <w:r w:rsidRPr="00CE1695">
              <w:rPr>
                <w:color w:val="auto"/>
                <w:sz w:val="22"/>
                <w:szCs w:val="22"/>
              </w:rPr>
              <w:t>Such individuals should be referred to the relevant specialist</w:t>
            </w:r>
            <w:r w:rsidR="00AC4C16" w:rsidRPr="00CE1695">
              <w:rPr>
                <w:color w:val="auto"/>
                <w:sz w:val="22"/>
                <w:szCs w:val="22"/>
              </w:rPr>
              <w:t xml:space="preserve"> </w:t>
            </w:r>
            <w:r w:rsidR="00AC4C16" w:rsidRPr="00CE1695">
              <w:rPr>
                <w:sz w:val="22"/>
                <w:szCs w:val="22"/>
              </w:rPr>
              <w:t>agency</w:t>
            </w:r>
            <w:r w:rsidR="00AC4C16" w:rsidRPr="00CE1695">
              <w:rPr>
                <w:color w:val="auto"/>
                <w:sz w:val="22"/>
                <w:szCs w:val="22"/>
              </w:rPr>
              <w:t>;</w:t>
            </w:r>
            <w:r w:rsidRPr="00CE1695">
              <w:rPr>
                <w:color w:val="auto"/>
                <w:sz w:val="22"/>
                <w:szCs w:val="22"/>
              </w:rPr>
              <w:t xml:space="preserve"> any THN supply made must be done in collaboration with the relevant specialist.</w:t>
            </w:r>
          </w:p>
          <w:p w14:paraId="1652740B" w14:textId="5E8DC974" w:rsidR="00A9206D" w:rsidRPr="00CE1695" w:rsidRDefault="00A9206D" w:rsidP="00AC4C16">
            <w:pPr>
              <w:pStyle w:val="Default"/>
              <w:rPr>
                <w:bCs/>
                <w:color w:val="FF0000"/>
                <w:sz w:val="22"/>
                <w:szCs w:val="22"/>
              </w:rPr>
            </w:pPr>
          </w:p>
        </w:tc>
      </w:tr>
      <w:tr w:rsidR="00A9206D" w:rsidRPr="00CE1695" w14:paraId="47DAFDE7" w14:textId="77777777" w:rsidTr="00935B8D">
        <w:tc>
          <w:tcPr>
            <w:tcW w:w="9923" w:type="dxa"/>
            <w:tcBorders>
              <w:top w:val="single" w:sz="4" w:space="0" w:color="999999"/>
              <w:left w:val="single" w:sz="4" w:space="0" w:color="999999"/>
              <w:bottom w:val="single" w:sz="4" w:space="0" w:color="999999"/>
              <w:right w:val="single" w:sz="4" w:space="0" w:color="999999"/>
            </w:tcBorders>
            <w:shd w:val="clear" w:color="auto" w:fill="D9D9D9"/>
          </w:tcPr>
          <w:p w14:paraId="67514766" w14:textId="77777777" w:rsidR="00A9206D" w:rsidRPr="00CE1695" w:rsidRDefault="00A9206D" w:rsidP="00935B8D">
            <w:pPr>
              <w:suppressAutoHyphens w:val="0"/>
              <w:rPr>
                <w:rFonts w:eastAsia="MS ??" w:cs="Arial"/>
                <w:b/>
                <w:color w:val="FFFFFF"/>
                <w:sz w:val="22"/>
                <w:szCs w:val="22"/>
              </w:rPr>
            </w:pPr>
          </w:p>
          <w:p w14:paraId="342CFC22" w14:textId="1B8AB179" w:rsidR="00A9206D" w:rsidRPr="002C32DD" w:rsidRDefault="00A9206D" w:rsidP="002C32DD">
            <w:pPr>
              <w:pStyle w:val="ListParagraph"/>
              <w:numPr>
                <w:ilvl w:val="0"/>
                <w:numId w:val="60"/>
              </w:numPr>
              <w:suppressAutoHyphens w:val="0"/>
              <w:rPr>
                <w:rFonts w:eastAsia="MS ??" w:cs="Arial"/>
                <w:b/>
                <w:sz w:val="22"/>
                <w:szCs w:val="22"/>
              </w:rPr>
            </w:pPr>
            <w:r w:rsidRPr="002C32DD">
              <w:rPr>
                <w:rFonts w:eastAsia="MS ??" w:cs="Arial"/>
                <w:b/>
                <w:sz w:val="22"/>
                <w:szCs w:val="22"/>
              </w:rPr>
              <w:t>Applicable Service Standards</w:t>
            </w:r>
            <w:r w:rsidRPr="002C32DD" w:rsidDel="00090017">
              <w:rPr>
                <w:rFonts w:eastAsia="MS ??" w:cs="Arial"/>
                <w:b/>
                <w:sz w:val="22"/>
                <w:szCs w:val="22"/>
              </w:rPr>
              <w:t xml:space="preserve"> </w:t>
            </w:r>
          </w:p>
          <w:p w14:paraId="3CD1634B" w14:textId="77777777" w:rsidR="00A9206D" w:rsidRPr="00CE1695" w:rsidRDefault="00A9206D" w:rsidP="00935B8D">
            <w:pPr>
              <w:suppressAutoHyphens w:val="0"/>
              <w:rPr>
                <w:rFonts w:eastAsia="MS ??" w:cs="Arial"/>
                <w:b/>
                <w:color w:val="FFFFFF"/>
                <w:sz w:val="22"/>
                <w:szCs w:val="22"/>
              </w:rPr>
            </w:pPr>
          </w:p>
        </w:tc>
      </w:tr>
      <w:tr w:rsidR="00A9206D" w:rsidRPr="00CE1695" w14:paraId="3CBFEB84" w14:textId="77777777" w:rsidTr="00935B8D">
        <w:trPr>
          <w:trHeight w:val="553"/>
        </w:trPr>
        <w:tc>
          <w:tcPr>
            <w:tcW w:w="9923" w:type="dxa"/>
            <w:tcBorders>
              <w:top w:val="single" w:sz="4" w:space="0" w:color="999999"/>
              <w:left w:val="single" w:sz="4" w:space="0" w:color="999999"/>
              <w:bottom w:val="single" w:sz="4" w:space="0" w:color="999999"/>
              <w:right w:val="single" w:sz="4" w:space="0" w:color="999999"/>
            </w:tcBorders>
          </w:tcPr>
          <w:p w14:paraId="374B4F99" w14:textId="77777777" w:rsidR="00A9206D" w:rsidRPr="00CE1695" w:rsidRDefault="00A9206D" w:rsidP="00935B8D">
            <w:pPr>
              <w:suppressAutoHyphens w:val="0"/>
              <w:rPr>
                <w:rFonts w:eastAsia="MS ??" w:cs="Arial"/>
                <w:color w:val="FFFFFF"/>
                <w:sz w:val="22"/>
                <w:szCs w:val="22"/>
              </w:rPr>
            </w:pPr>
          </w:p>
          <w:p w14:paraId="5F3981C3" w14:textId="3D0E9B10" w:rsidR="00A9206D" w:rsidRPr="00CE1695" w:rsidRDefault="00A9206D" w:rsidP="00AC4C16">
            <w:pPr>
              <w:pStyle w:val="ListParagraph"/>
              <w:numPr>
                <w:ilvl w:val="1"/>
                <w:numId w:val="51"/>
              </w:numPr>
              <w:rPr>
                <w:rFonts w:cs="Arial"/>
                <w:b/>
                <w:bCs/>
                <w:sz w:val="22"/>
                <w:szCs w:val="22"/>
              </w:rPr>
            </w:pPr>
            <w:r w:rsidRPr="00CE1695">
              <w:rPr>
                <w:rFonts w:cs="Arial"/>
                <w:b/>
                <w:bCs/>
                <w:sz w:val="22"/>
                <w:szCs w:val="22"/>
              </w:rPr>
              <w:t xml:space="preserve">Applicable National and Local Standards </w:t>
            </w:r>
          </w:p>
          <w:p w14:paraId="2346A302" w14:textId="12FDA83B" w:rsidR="00B14516" w:rsidRPr="00CE1695" w:rsidRDefault="00CE3E5A" w:rsidP="00CE3E5A">
            <w:pPr>
              <w:pStyle w:val="ListParagraph"/>
              <w:numPr>
                <w:ilvl w:val="0"/>
                <w:numId w:val="14"/>
              </w:numPr>
              <w:rPr>
                <w:rFonts w:cs="Arial"/>
                <w:sz w:val="22"/>
                <w:szCs w:val="22"/>
              </w:rPr>
            </w:pPr>
            <w:r w:rsidRPr="00CE1695">
              <w:rPr>
                <w:rFonts w:cs="Arial"/>
                <w:sz w:val="22"/>
                <w:szCs w:val="22"/>
              </w:rPr>
              <w:t xml:space="preserve">All Service Providers shall adhere to </w:t>
            </w:r>
            <w:r w:rsidR="00B14516" w:rsidRPr="00CE1695">
              <w:rPr>
                <w:rFonts w:cs="Arial"/>
                <w:sz w:val="22"/>
                <w:szCs w:val="22"/>
              </w:rPr>
              <w:t>relevant legislative requirements and standards, including but not limited to the:</w:t>
            </w:r>
          </w:p>
          <w:p w14:paraId="3BE120DB" w14:textId="6353C148" w:rsidR="00B14516" w:rsidRPr="00CE1695" w:rsidRDefault="00B14516" w:rsidP="007F1400">
            <w:pPr>
              <w:pStyle w:val="ListParagraph"/>
              <w:numPr>
                <w:ilvl w:val="0"/>
                <w:numId w:val="39"/>
              </w:numPr>
              <w:jc w:val="left"/>
              <w:rPr>
                <w:rFonts w:cs="Arial"/>
                <w:sz w:val="22"/>
                <w:szCs w:val="22"/>
              </w:rPr>
            </w:pPr>
            <w:r w:rsidRPr="00CE1695">
              <w:rPr>
                <w:rFonts w:cs="Arial"/>
                <w:sz w:val="22"/>
                <w:szCs w:val="22"/>
              </w:rPr>
              <w:t xml:space="preserve">Widening the Availability of Naloxone guidance: </w:t>
            </w:r>
            <w:hyperlink r:id="rId14" w:history="1">
              <w:r w:rsidR="00DE1339" w:rsidRPr="00CE1695">
                <w:rPr>
                  <w:rStyle w:val="Hyperlink"/>
                  <w:rFonts w:cs="Arial"/>
                  <w:sz w:val="22"/>
                  <w:szCs w:val="22"/>
                </w:rPr>
                <w:t>https://www.gov.uk/government/publications/widening-the-availability-of-naloxone</w:t>
              </w:r>
            </w:hyperlink>
          </w:p>
          <w:p w14:paraId="0BC6349E" w14:textId="15B917A0" w:rsidR="00B14516" w:rsidRPr="00CE1695" w:rsidRDefault="00B14516" w:rsidP="007F1400">
            <w:pPr>
              <w:pStyle w:val="ListParagraph"/>
              <w:numPr>
                <w:ilvl w:val="0"/>
                <w:numId w:val="39"/>
              </w:numPr>
              <w:jc w:val="left"/>
              <w:rPr>
                <w:rFonts w:cs="Arial"/>
                <w:sz w:val="22"/>
                <w:szCs w:val="22"/>
              </w:rPr>
            </w:pPr>
            <w:r w:rsidRPr="00CE1695">
              <w:rPr>
                <w:rFonts w:cs="Arial"/>
                <w:sz w:val="22"/>
                <w:szCs w:val="22"/>
              </w:rPr>
              <w:t xml:space="preserve">Guidance on Take-Home Naloxone for opioid overdose in people who use drugs: </w:t>
            </w:r>
            <w:hyperlink r:id="rId15" w:history="1">
              <w:r w:rsidR="00DE1339" w:rsidRPr="00CE1695">
                <w:rPr>
                  <w:rStyle w:val="Hyperlink"/>
                  <w:rFonts w:cs="Arial"/>
                  <w:sz w:val="22"/>
                  <w:szCs w:val="22"/>
                </w:rPr>
                <w:t>https://www.gov.uk/government/publications/providing-take-home-naloxone-for-opioid-overdose</w:t>
              </w:r>
            </w:hyperlink>
          </w:p>
          <w:p w14:paraId="3C34063C" w14:textId="4B37ACF7" w:rsidR="00A9206D" w:rsidRPr="00CE1695" w:rsidRDefault="00B14516" w:rsidP="007F1400">
            <w:pPr>
              <w:pStyle w:val="ListParagraph"/>
              <w:numPr>
                <w:ilvl w:val="0"/>
                <w:numId w:val="39"/>
              </w:numPr>
              <w:jc w:val="left"/>
              <w:rPr>
                <w:rStyle w:val="Hyperlink"/>
                <w:rFonts w:cs="Arial"/>
                <w:color w:val="auto"/>
                <w:sz w:val="22"/>
                <w:szCs w:val="22"/>
                <w:u w:val="none"/>
              </w:rPr>
            </w:pPr>
            <w:r w:rsidRPr="00CE1695">
              <w:rPr>
                <w:rFonts w:cs="Arial"/>
                <w:bCs/>
                <w:color w:val="000000" w:themeColor="text1"/>
                <w:sz w:val="22"/>
                <w:szCs w:val="22"/>
              </w:rPr>
              <w:t xml:space="preserve">Drug misuse and dependence: UK guidelines on clinical management: </w:t>
            </w:r>
            <w:hyperlink r:id="rId16" w:history="1">
              <w:r w:rsidRPr="00CE1695">
                <w:rPr>
                  <w:rStyle w:val="Hyperlink"/>
                  <w:rFonts w:cs="Arial"/>
                  <w:bCs/>
                  <w:sz w:val="22"/>
                  <w:szCs w:val="22"/>
                </w:rPr>
                <w:t>https://www.gov.uk/government/publications/drug-misuse-and-dependence-uk-guidelines-on-clinical-management</w:t>
              </w:r>
            </w:hyperlink>
          </w:p>
          <w:p w14:paraId="032CCCAC" w14:textId="5AF7FB22" w:rsidR="00DE1339" w:rsidRPr="00CE1695" w:rsidRDefault="00DE1339" w:rsidP="007F1400">
            <w:pPr>
              <w:pStyle w:val="ListParagraph"/>
              <w:numPr>
                <w:ilvl w:val="0"/>
                <w:numId w:val="39"/>
              </w:numPr>
              <w:jc w:val="left"/>
              <w:rPr>
                <w:rStyle w:val="Hyperlink"/>
                <w:rFonts w:cs="Arial"/>
                <w:color w:val="auto"/>
                <w:sz w:val="22"/>
                <w:szCs w:val="22"/>
                <w:u w:val="none"/>
              </w:rPr>
            </w:pPr>
            <w:r w:rsidRPr="00CE1695">
              <w:rPr>
                <w:rFonts w:cs="Arial"/>
                <w:bCs/>
                <w:color w:val="000000" w:themeColor="text1"/>
                <w:sz w:val="22"/>
                <w:szCs w:val="22"/>
              </w:rPr>
              <w:t>Guide to defective medicinal products:</w:t>
            </w:r>
            <w:r w:rsidRPr="00CE1695">
              <w:rPr>
                <w:rStyle w:val="Hyperlink"/>
                <w:rFonts w:cs="Arial"/>
                <w:color w:val="auto"/>
                <w:sz w:val="22"/>
                <w:szCs w:val="22"/>
                <w:u w:val="none"/>
              </w:rPr>
              <w:t xml:space="preserve"> </w:t>
            </w:r>
            <w:hyperlink r:id="rId17" w:history="1">
              <w:r w:rsidRPr="00CE1695">
                <w:rPr>
                  <w:rStyle w:val="Hyperlink"/>
                  <w:rFonts w:cs="Arial"/>
                  <w:sz w:val="22"/>
                  <w:szCs w:val="22"/>
                </w:rPr>
                <w:t>https://www.gov.uk/government/publications/a-guide-to-defective-medicinal-products</w:t>
              </w:r>
            </w:hyperlink>
          </w:p>
          <w:p w14:paraId="39207E97" w14:textId="517215D3" w:rsidR="0047041A" w:rsidRPr="00CE1695" w:rsidRDefault="0047041A" w:rsidP="007F1400">
            <w:pPr>
              <w:pStyle w:val="ListParagraph"/>
              <w:numPr>
                <w:ilvl w:val="0"/>
                <w:numId w:val="39"/>
              </w:numPr>
              <w:jc w:val="left"/>
              <w:rPr>
                <w:rStyle w:val="Hyperlink"/>
                <w:rFonts w:cs="Arial"/>
                <w:color w:val="auto"/>
                <w:sz w:val="22"/>
                <w:szCs w:val="22"/>
                <w:u w:val="none"/>
              </w:rPr>
            </w:pPr>
            <w:r w:rsidRPr="00CE1695">
              <w:rPr>
                <w:rFonts w:cs="Arial"/>
                <w:bCs/>
                <w:color w:val="000000" w:themeColor="text1"/>
                <w:sz w:val="22"/>
                <w:szCs w:val="22"/>
              </w:rPr>
              <w:t xml:space="preserve">Pharmacy Substance Misuse Services Guidance </w:t>
            </w:r>
            <w:r w:rsidR="002C32DD">
              <w:rPr>
                <w:rFonts w:cs="Arial"/>
                <w:bCs/>
                <w:color w:val="000000" w:themeColor="text1"/>
                <w:sz w:val="22"/>
                <w:szCs w:val="22"/>
              </w:rPr>
              <w:t>–</w:t>
            </w:r>
            <w:r w:rsidRPr="00CE1695">
              <w:rPr>
                <w:rStyle w:val="Hyperlink"/>
                <w:rFonts w:cs="Arial"/>
                <w:color w:val="auto"/>
                <w:sz w:val="22"/>
                <w:szCs w:val="22"/>
                <w:u w:val="none"/>
              </w:rPr>
              <w:t xml:space="preserve"> </w:t>
            </w:r>
            <w:hyperlink r:id="rId18" w:history="1">
              <w:r w:rsidRPr="00CE1695">
                <w:rPr>
                  <w:rStyle w:val="Hyperlink"/>
                  <w:rFonts w:cs="Arial"/>
                  <w:sz w:val="22"/>
                  <w:szCs w:val="22"/>
                </w:rPr>
                <w:t>https://www.gov.uk/government/publications/community-pharmacy-delivering-substance-misuse-services</w:t>
              </w:r>
            </w:hyperlink>
            <w:r w:rsidRPr="00CE1695">
              <w:rPr>
                <w:rStyle w:val="Hyperlink"/>
                <w:rFonts w:cs="Arial"/>
                <w:color w:val="auto"/>
                <w:sz w:val="22"/>
                <w:szCs w:val="22"/>
                <w:u w:val="none"/>
              </w:rPr>
              <w:t xml:space="preserve"> </w:t>
            </w:r>
          </w:p>
          <w:p w14:paraId="418A9662" w14:textId="0FBCB199" w:rsidR="006809AE" w:rsidRPr="00CE1695" w:rsidRDefault="006809AE" w:rsidP="007F1400">
            <w:pPr>
              <w:pStyle w:val="ListParagraph"/>
              <w:numPr>
                <w:ilvl w:val="0"/>
                <w:numId w:val="14"/>
              </w:numPr>
              <w:jc w:val="left"/>
              <w:rPr>
                <w:rFonts w:cs="Arial"/>
                <w:sz w:val="22"/>
                <w:szCs w:val="22"/>
              </w:rPr>
            </w:pPr>
            <w:r w:rsidRPr="00CE1695">
              <w:rPr>
                <w:rFonts w:cs="Arial"/>
                <w:sz w:val="22"/>
                <w:szCs w:val="22"/>
              </w:rPr>
              <w:t>All Service Providers must conform to the General Pharmaceutical Council (</w:t>
            </w:r>
            <w:proofErr w:type="spellStart"/>
            <w:r w:rsidRPr="00CE1695">
              <w:rPr>
                <w:rFonts w:cs="Arial"/>
                <w:sz w:val="22"/>
                <w:szCs w:val="22"/>
              </w:rPr>
              <w:t>GPhC</w:t>
            </w:r>
            <w:proofErr w:type="spellEnd"/>
            <w:r w:rsidRPr="00CE1695">
              <w:rPr>
                <w:rFonts w:cs="Arial"/>
                <w:sz w:val="22"/>
                <w:szCs w:val="22"/>
              </w:rPr>
              <w:t>) Standards for Pharmacy Professionals.</w:t>
            </w:r>
          </w:p>
          <w:p w14:paraId="27AD41BE" w14:textId="77777777" w:rsidR="00A9206D" w:rsidRPr="00CE1695" w:rsidRDefault="00A9206D" w:rsidP="000257B0">
            <w:pPr>
              <w:jc w:val="left"/>
              <w:rPr>
                <w:rFonts w:cs="Arial"/>
                <w:bCs/>
                <w:sz w:val="22"/>
                <w:szCs w:val="22"/>
              </w:rPr>
            </w:pPr>
          </w:p>
        </w:tc>
      </w:tr>
      <w:tr w:rsidR="00A9206D" w:rsidRPr="00CE1695" w14:paraId="73508BC4" w14:textId="77777777" w:rsidTr="00935B8D">
        <w:tc>
          <w:tcPr>
            <w:tcW w:w="9923"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7B45804" w14:textId="77777777" w:rsidR="00A9206D" w:rsidRPr="00CE1695" w:rsidRDefault="00A9206D" w:rsidP="00935B8D">
            <w:pPr>
              <w:suppressAutoHyphens w:val="0"/>
              <w:rPr>
                <w:rFonts w:eastAsia="MS ??" w:cs="Arial"/>
                <w:b/>
                <w:sz w:val="22"/>
                <w:szCs w:val="22"/>
              </w:rPr>
            </w:pPr>
          </w:p>
          <w:p w14:paraId="7CA1491F" w14:textId="72506829" w:rsidR="00A9206D" w:rsidRPr="002C32DD" w:rsidRDefault="00A9206D" w:rsidP="002C32DD">
            <w:pPr>
              <w:pStyle w:val="ListParagraph"/>
              <w:numPr>
                <w:ilvl w:val="0"/>
                <w:numId w:val="60"/>
              </w:numPr>
              <w:tabs>
                <w:tab w:val="left" w:pos="381"/>
              </w:tabs>
              <w:suppressAutoHyphens w:val="0"/>
              <w:rPr>
                <w:rFonts w:eastAsia="MS ??" w:cs="Arial"/>
                <w:b/>
                <w:sz w:val="22"/>
                <w:szCs w:val="22"/>
              </w:rPr>
            </w:pPr>
            <w:r w:rsidRPr="002C32DD">
              <w:rPr>
                <w:rFonts w:eastAsia="MS ??" w:cs="Arial"/>
                <w:b/>
                <w:sz w:val="22"/>
                <w:szCs w:val="22"/>
              </w:rPr>
              <w:t xml:space="preserve"> Data Requirements </w:t>
            </w:r>
          </w:p>
          <w:p w14:paraId="527F28E4" w14:textId="77777777" w:rsidR="00A9206D" w:rsidRPr="00CE1695" w:rsidRDefault="00A9206D" w:rsidP="00935B8D">
            <w:pPr>
              <w:suppressAutoHyphens w:val="0"/>
              <w:rPr>
                <w:rFonts w:eastAsia="MS ??" w:cs="Arial"/>
                <w:b/>
                <w:sz w:val="22"/>
                <w:szCs w:val="22"/>
              </w:rPr>
            </w:pPr>
          </w:p>
        </w:tc>
      </w:tr>
      <w:tr w:rsidR="00A9206D" w:rsidRPr="00CE1695" w14:paraId="4BB2EED2" w14:textId="77777777" w:rsidTr="00935B8D">
        <w:tc>
          <w:tcPr>
            <w:tcW w:w="9923" w:type="dxa"/>
            <w:tcBorders>
              <w:top w:val="single" w:sz="4" w:space="0" w:color="999999"/>
              <w:left w:val="single" w:sz="4" w:space="0" w:color="999999"/>
              <w:bottom w:val="single" w:sz="4" w:space="0" w:color="999999"/>
              <w:right w:val="single" w:sz="4" w:space="0" w:color="999999"/>
            </w:tcBorders>
          </w:tcPr>
          <w:p w14:paraId="740ECF58" w14:textId="77777777" w:rsidR="00A9206D" w:rsidRPr="00CE1695" w:rsidRDefault="00A9206D" w:rsidP="00935B8D">
            <w:pPr>
              <w:suppressAutoHyphens w:val="0"/>
              <w:autoSpaceDE w:val="0"/>
              <w:autoSpaceDN w:val="0"/>
              <w:adjustRightInd w:val="0"/>
              <w:rPr>
                <w:rFonts w:eastAsia="MS ??" w:cs="Arial"/>
                <w:sz w:val="22"/>
                <w:szCs w:val="22"/>
              </w:rPr>
            </w:pPr>
          </w:p>
          <w:p w14:paraId="77354798" w14:textId="62000D59" w:rsidR="00A9206D" w:rsidRPr="00CE1695" w:rsidRDefault="002C32DD" w:rsidP="00935B8D">
            <w:pPr>
              <w:suppressAutoHyphens w:val="0"/>
              <w:autoSpaceDE w:val="0"/>
              <w:autoSpaceDN w:val="0"/>
              <w:adjustRightInd w:val="0"/>
              <w:rPr>
                <w:rFonts w:cs="Arial"/>
                <w:bCs/>
                <w:sz w:val="22"/>
                <w:szCs w:val="22"/>
                <w:lang w:eastAsia="en-GB" w:bidi="bn"/>
              </w:rPr>
            </w:pPr>
            <w:r>
              <w:rPr>
                <w:rFonts w:eastAsia="MS ??" w:cs="Arial"/>
                <w:b/>
                <w:sz w:val="22"/>
                <w:szCs w:val="22"/>
              </w:rPr>
              <w:t>4</w:t>
            </w:r>
            <w:r w:rsidR="00A9206D" w:rsidRPr="00CE1695">
              <w:rPr>
                <w:rFonts w:eastAsia="MS ??" w:cs="Arial"/>
                <w:b/>
                <w:sz w:val="22"/>
                <w:szCs w:val="22"/>
              </w:rPr>
              <w:t>.1</w:t>
            </w:r>
            <w:r w:rsidR="00A9206D" w:rsidRPr="00CE1695">
              <w:rPr>
                <w:rFonts w:eastAsia="MS ??" w:cs="Arial"/>
                <w:sz w:val="22"/>
                <w:szCs w:val="22"/>
              </w:rPr>
              <w:t xml:space="preserve"> </w:t>
            </w:r>
            <w:r w:rsidR="00A9206D" w:rsidRPr="00CE1695">
              <w:rPr>
                <w:rFonts w:cs="Arial"/>
                <w:b/>
                <w:bCs/>
                <w:sz w:val="22"/>
                <w:szCs w:val="22"/>
                <w:lang w:eastAsia="en-GB" w:bidi="bn"/>
              </w:rPr>
              <w:t>DATA Entry</w:t>
            </w:r>
          </w:p>
          <w:p w14:paraId="52089053" w14:textId="77777777" w:rsidR="00A9206D" w:rsidRPr="00CE1695" w:rsidRDefault="00A9206D" w:rsidP="00935B8D">
            <w:pPr>
              <w:tabs>
                <w:tab w:val="left" w:pos="498"/>
              </w:tabs>
              <w:suppressAutoHyphens w:val="0"/>
              <w:rPr>
                <w:rFonts w:cs="Arial"/>
                <w:snapToGrid w:val="0"/>
                <w:sz w:val="22"/>
                <w:szCs w:val="22"/>
              </w:rPr>
            </w:pPr>
            <w:r w:rsidRPr="00CE1695">
              <w:rPr>
                <w:rFonts w:cs="Arial"/>
                <w:snapToGrid w:val="0"/>
                <w:sz w:val="22"/>
                <w:szCs w:val="22"/>
              </w:rPr>
              <w:t>The Service Provider shall:</w:t>
            </w:r>
          </w:p>
          <w:p w14:paraId="2D958E9B" w14:textId="40486686" w:rsidR="00A9206D" w:rsidRPr="00CE1695" w:rsidRDefault="00A9206D" w:rsidP="00A9206D">
            <w:pPr>
              <w:pStyle w:val="ListParagraph"/>
              <w:numPr>
                <w:ilvl w:val="0"/>
                <w:numId w:val="5"/>
              </w:numPr>
              <w:tabs>
                <w:tab w:val="left" w:pos="627"/>
              </w:tabs>
              <w:suppressAutoHyphens w:val="0"/>
              <w:ind w:left="627" w:hanging="425"/>
              <w:rPr>
                <w:rFonts w:cs="Arial"/>
                <w:snapToGrid w:val="0"/>
                <w:sz w:val="22"/>
                <w:szCs w:val="22"/>
              </w:rPr>
            </w:pPr>
            <w:r w:rsidRPr="00CE1695">
              <w:rPr>
                <w:rFonts w:cs="Arial"/>
                <w:snapToGrid w:val="0"/>
                <w:sz w:val="22"/>
                <w:szCs w:val="22"/>
              </w:rPr>
              <w:t xml:space="preserve">Ensure completion of the Council minimum data set for each person who </w:t>
            </w:r>
            <w:r w:rsidR="0009072D" w:rsidRPr="00CE1695">
              <w:rPr>
                <w:rFonts w:cs="Arial"/>
                <w:snapToGrid w:val="0"/>
                <w:sz w:val="22"/>
                <w:szCs w:val="22"/>
              </w:rPr>
              <w:t>is supplied a THN kit</w:t>
            </w:r>
            <w:r w:rsidR="004A17D0" w:rsidRPr="00CE1695">
              <w:rPr>
                <w:rFonts w:cs="Arial"/>
                <w:snapToGrid w:val="0"/>
                <w:sz w:val="22"/>
                <w:szCs w:val="22"/>
              </w:rPr>
              <w:t xml:space="preserve"> (</w:t>
            </w:r>
            <w:r w:rsidR="000257B0" w:rsidRPr="00CE1695">
              <w:rPr>
                <w:rFonts w:cs="Arial"/>
                <w:snapToGrid w:val="0"/>
                <w:sz w:val="22"/>
                <w:szCs w:val="22"/>
              </w:rPr>
              <w:t xml:space="preserve">see </w:t>
            </w:r>
            <w:r w:rsidR="004A17D0" w:rsidRPr="00CE1695">
              <w:rPr>
                <w:rFonts w:cs="Arial"/>
                <w:snapToGrid w:val="0"/>
                <w:sz w:val="22"/>
                <w:szCs w:val="22"/>
              </w:rPr>
              <w:t>Schedule 3)</w:t>
            </w:r>
            <w:r w:rsidRPr="00CE1695">
              <w:rPr>
                <w:rFonts w:cs="Arial"/>
                <w:snapToGrid w:val="0"/>
                <w:sz w:val="22"/>
                <w:szCs w:val="22"/>
              </w:rPr>
              <w:t>.</w:t>
            </w:r>
          </w:p>
          <w:p w14:paraId="5D8C8A9A" w14:textId="3E2AE476" w:rsidR="00A9206D" w:rsidRPr="00CE1695" w:rsidRDefault="00A9206D" w:rsidP="00A9206D">
            <w:pPr>
              <w:pStyle w:val="ListParagraph"/>
              <w:numPr>
                <w:ilvl w:val="0"/>
                <w:numId w:val="5"/>
              </w:numPr>
              <w:tabs>
                <w:tab w:val="left" w:pos="627"/>
              </w:tabs>
              <w:suppressAutoHyphens w:val="0"/>
              <w:ind w:left="627" w:hanging="425"/>
              <w:rPr>
                <w:rFonts w:cs="Arial"/>
                <w:snapToGrid w:val="0"/>
                <w:sz w:val="22"/>
                <w:szCs w:val="22"/>
              </w:rPr>
            </w:pPr>
            <w:r w:rsidRPr="00CE1695">
              <w:rPr>
                <w:rFonts w:cs="Arial"/>
                <w:snapToGrid w:val="0"/>
                <w:sz w:val="22"/>
                <w:szCs w:val="22"/>
              </w:rPr>
              <w:lastRenderedPageBreak/>
              <w:t>Input data onto the web-based system provided by the Commissioner</w:t>
            </w:r>
            <w:r w:rsidR="007E3A1E">
              <w:rPr>
                <w:rFonts w:cs="Arial"/>
                <w:snapToGrid w:val="0"/>
                <w:sz w:val="22"/>
                <w:szCs w:val="22"/>
              </w:rPr>
              <w:t>s</w:t>
            </w:r>
            <w:r w:rsidRPr="00CE1695">
              <w:rPr>
                <w:rFonts w:cs="Arial"/>
                <w:snapToGrid w:val="0"/>
                <w:sz w:val="22"/>
                <w:szCs w:val="22"/>
              </w:rPr>
              <w:t xml:space="preserve"> (currently PharmOutcomes) </w:t>
            </w:r>
            <w:r w:rsidRPr="00CE1695">
              <w:rPr>
                <w:rFonts w:cs="Arial"/>
                <w:sz w:val="22"/>
                <w:szCs w:val="22"/>
              </w:rPr>
              <w:t xml:space="preserve">within </w:t>
            </w:r>
            <w:r w:rsidR="0009072D" w:rsidRPr="00CE1695">
              <w:rPr>
                <w:rFonts w:cs="Arial"/>
                <w:sz w:val="22"/>
                <w:szCs w:val="22"/>
              </w:rPr>
              <w:t>28</w:t>
            </w:r>
            <w:r w:rsidRPr="00CE1695">
              <w:rPr>
                <w:rFonts w:cs="Arial"/>
                <w:sz w:val="22"/>
                <w:szCs w:val="22"/>
              </w:rPr>
              <w:t xml:space="preserve"> days of the end of the month in which the </w:t>
            </w:r>
            <w:r w:rsidR="0009072D" w:rsidRPr="00CE1695">
              <w:rPr>
                <w:rFonts w:cs="Arial"/>
                <w:sz w:val="22"/>
                <w:szCs w:val="22"/>
              </w:rPr>
              <w:t>THN kit was supplied</w:t>
            </w:r>
            <w:r w:rsidRPr="00CE1695">
              <w:rPr>
                <w:rFonts w:cs="Arial"/>
                <w:sz w:val="22"/>
                <w:szCs w:val="22"/>
              </w:rPr>
              <w:t xml:space="preserve">.  </w:t>
            </w:r>
          </w:p>
          <w:p w14:paraId="73AE1BEB" w14:textId="77777777" w:rsidR="00A9206D" w:rsidRPr="00CE1695" w:rsidRDefault="00A9206D" w:rsidP="00935B8D">
            <w:pPr>
              <w:tabs>
                <w:tab w:val="left" w:pos="-1248"/>
                <w:tab w:val="left" w:pos="-720"/>
                <w:tab w:val="left" w:pos="567"/>
                <w:tab w:val="left" w:pos="1440"/>
                <w:tab w:val="left" w:pos="2160"/>
                <w:tab w:val="left" w:pos="2880"/>
                <w:tab w:val="left" w:pos="3600"/>
                <w:tab w:val="left" w:pos="4320"/>
                <w:tab w:val="left" w:pos="5040"/>
                <w:tab w:val="left" w:pos="5760"/>
                <w:tab w:val="right" w:pos="6753"/>
                <w:tab w:val="left" w:pos="7200"/>
                <w:tab w:val="left" w:pos="7920"/>
                <w:tab w:val="left" w:pos="8179"/>
              </w:tabs>
              <w:suppressAutoHyphens w:val="0"/>
              <w:rPr>
                <w:rFonts w:cs="Arial"/>
                <w:b/>
                <w:bCs/>
                <w:sz w:val="22"/>
                <w:szCs w:val="22"/>
              </w:rPr>
            </w:pPr>
          </w:p>
          <w:p w14:paraId="79720EBD" w14:textId="7ECF1DE0" w:rsidR="00A9206D" w:rsidRPr="00CE1695" w:rsidRDefault="00A9206D" w:rsidP="00935B8D">
            <w:pPr>
              <w:tabs>
                <w:tab w:val="left" w:pos="-1248"/>
                <w:tab w:val="left" w:pos="-720"/>
                <w:tab w:val="left" w:pos="567"/>
                <w:tab w:val="left" w:pos="1440"/>
                <w:tab w:val="left" w:pos="2160"/>
                <w:tab w:val="left" w:pos="2880"/>
                <w:tab w:val="left" w:pos="3600"/>
                <w:tab w:val="left" w:pos="4320"/>
                <w:tab w:val="left" w:pos="5040"/>
                <w:tab w:val="left" w:pos="5760"/>
                <w:tab w:val="right" w:pos="6753"/>
                <w:tab w:val="left" w:pos="7200"/>
                <w:tab w:val="left" w:pos="7920"/>
                <w:tab w:val="left" w:pos="8179"/>
              </w:tabs>
              <w:suppressAutoHyphens w:val="0"/>
              <w:rPr>
                <w:rFonts w:cs="Arial"/>
                <w:bCs/>
                <w:sz w:val="22"/>
                <w:szCs w:val="22"/>
              </w:rPr>
            </w:pPr>
            <w:r w:rsidRPr="00CE1695">
              <w:rPr>
                <w:rFonts w:cs="Arial"/>
                <w:bCs/>
                <w:sz w:val="22"/>
                <w:szCs w:val="22"/>
              </w:rPr>
              <w:t xml:space="preserve">Payments will be made according to the number of Service Users entered onto the system as having been </w:t>
            </w:r>
            <w:r w:rsidR="0009072D" w:rsidRPr="00CE1695">
              <w:rPr>
                <w:rFonts w:cs="Arial"/>
                <w:bCs/>
                <w:sz w:val="22"/>
                <w:szCs w:val="22"/>
              </w:rPr>
              <w:t>supplied a THN kit per each quarter</w:t>
            </w:r>
            <w:r w:rsidRPr="00CE1695">
              <w:rPr>
                <w:rFonts w:cs="Arial"/>
                <w:bCs/>
                <w:sz w:val="22"/>
                <w:szCs w:val="22"/>
              </w:rPr>
              <w:t xml:space="preserve">, and as such the data entered onto </w:t>
            </w:r>
            <w:r w:rsidR="0009072D" w:rsidRPr="00CE1695">
              <w:rPr>
                <w:rFonts w:cs="Arial"/>
                <w:bCs/>
                <w:sz w:val="22"/>
                <w:szCs w:val="22"/>
              </w:rPr>
              <w:t>PharmOutcomes</w:t>
            </w:r>
            <w:r w:rsidRPr="00CE1695">
              <w:rPr>
                <w:rFonts w:cs="Arial"/>
                <w:bCs/>
                <w:sz w:val="22"/>
                <w:szCs w:val="22"/>
              </w:rPr>
              <w:t xml:space="preserve"> will determine the level of payment to each Service Provider.  Data will be collected 28 days after the quarter end for calculation of payments</w:t>
            </w:r>
            <w:r w:rsidR="0009072D" w:rsidRPr="00CE1695">
              <w:rPr>
                <w:rFonts w:cs="Arial"/>
                <w:bCs/>
                <w:sz w:val="22"/>
                <w:szCs w:val="22"/>
              </w:rPr>
              <w:t>;</w:t>
            </w:r>
            <w:r w:rsidRPr="00CE1695">
              <w:rPr>
                <w:rFonts w:cs="Arial"/>
                <w:bCs/>
                <w:sz w:val="22"/>
                <w:szCs w:val="22"/>
              </w:rPr>
              <w:t xml:space="preserve"> </w:t>
            </w:r>
            <w:r w:rsidR="0009072D" w:rsidRPr="00CE1695">
              <w:rPr>
                <w:rFonts w:cs="Arial"/>
                <w:bCs/>
                <w:sz w:val="22"/>
                <w:szCs w:val="22"/>
              </w:rPr>
              <w:t>t</w:t>
            </w:r>
            <w:r w:rsidRPr="00CE1695">
              <w:rPr>
                <w:rFonts w:cs="Arial"/>
                <w:bCs/>
                <w:sz w:val="22"/>
                <w:szCs w:val="22"/>
              </w:rPr>
              <w:t xml:space="preserve">herefore, all data for the quarter must be entered onto this system by this date. </w:t>
            </w:r>
          </w:p>
          <w:p w14:paraId="27AC58FB" w14:textId="77777777" w:rsidR="00A9206D" w:rsidRPr="00CE1695" w:rsidRDefault="00A9206D" w:rsidP="00935B8D">
            <w:pPr>
              <w:tabs>
                <w:tab w:val="left" w:pos="-1248"/>
                <w:tab w:val="left" w:pos="-720"/>
                <w:tab w:val="left" w:pos="567"/>
                <w:tab w:val="left" w:pos="1440"/>
                <w:tab w:val="left" w:pos="2160"/>
                <w:tab w:val="left" w:pos="2880"/>
                <w:tab w:val="left" w:pos="3600"/>
                <w:tab w:val="left" w:pos="4320"/>
                <w:tab w:val="left" w:pos="5040"/>
                <w:tab w:val="left" w:pos="5760"/>
                <w:tab w:val="right" w:pos="6753"/>
                <w:tab w:val="left" w:pos="7200"/>
                <w:tab w:val="left" w:pos="7920"/>
                <w:tab w:val="left" w:pos="8179"/>
              </w:tabs>
              <w:suppressAutoHyphens w:val="0"/>
              <w:rPr>
                <w:rFonts w:cs="Arial"/>
                <w:b/>
                <w:bCs/>
                <w:sz w:val="22"/>
                <w:szCs w:val="22"/>
              </w:rPr>
            </w:pPr>
          </w:p>
          <w:p w14:paraId="19DE5374" w14:textId="451E6282" w:rsidR="00A9206D" w:rsidRPr="00CE1695" w:rsidRDefault="00A9206D" w:rsidP="00935B8D">
            <w:pPr>
              <w:tabs>
                <w:tab w:val="left" w:pos="0"/>
              </w:tabs>
              <w:suppressAutoHyphens w:val="0"/>
              <w:rPr>
                <w:rFonts w:cs="Arial"/>
                <w:sz w:val="22"/>
                <w:szCs w:val="22"/>
              </w:rPr>
            </w:pPr>
            <w:r w:rsidRPr="00CE1695">
              <w:rPr>
                <w:rFonts w:cs="Arial"/>
                <w:sz w:val="22"/>
                <w:szCs w:val="22"/>
              </w:rPr>
              <w:t xml:space="preserve">The </w:t>
            </w:r>
            <w:r w:rsidR="00CE1695">
              <w:rPr>
                <w:rFonts w:cs="Arial"/>
                <w:sz w:val="22"/>
                <w:szCs w:val="22"/>
              </w:rPr>
              <w:t>data</w:t>
            </w:r>
            <w:r w:rsidR="00CE1695" w:rsidRPr="00CE1695">
              <w:rPr>
                <w:rFonts w:cs="Arial"/>
                <w:sz w:val="22"/>
                <w:szCs w:val="22"/>
              </w:rPr>
              <w:t xml:space="preserve"> </w:t>
            </w:r>
            <w:r w:rsidRPr="00CE1695">
              <w:rPr>
                <w:rFonts w:cs="Arial"/>
                <w:sz w:val="22"/>
                <w:szCs w:val="22"/>
              </w:rPr>
              <w:t xml:space="preserve">required for each person who uses the service may be developed </w:t>
            </w:r>
            <w:r w:rsidR="0009072D" w:rsidRPr="00CE1695">
              <w:rPr>
                <w:rFonts w:cs="Arial"/>
                <w:sz w:val="22"/>
                <w:szCs w:val="22"/>
              </w:rPr>
              <w:t xml:space="preserve">during the course of the pilot duration, </w:t>
            </w:r>
            <w:r w:rsidRPr="00CE1695">
              <w:rPr>
                <w:rFonts w:cs="Arial"/>
                <w:sz w:val="22"/>
                <w:szCs w:val="22"/>
              </w:rPr>
              <w:t>to reflect the Council’s contract monitoring requirements.</w:t>
            </w:r>
          </w:p>
          <w:p w14:paraId="01343A73" w14:textId="77777777" w:rsidR="00A9206D" w:rsidRPr="00CE1695" w:rsidRDefault="00A9206D" w:rsidP="00935B8D">
            <w:pPr>
              <w:rPr>
                <w:rFonts w:eastAsia="MS ??" w:cs="Arial"/>
                <w:sz w:val="22"/>
                <w:szCs w:val="22"/>
              </w:rPr>
            </w:pPr>
          </w:p>
        </w:tc>
      </w:tr>
    </w:tbl>
    <w:p w14:paraId="2A22D046" w14:textId="5EE3417D" w:rsidR="00A9206D" w:rsidRPr="00CE1695" w:rsidRDefault="00A9206D" w:rsidP="00A9206D">
      <w:pPr>
        <w:suppressAutoHyphens w:val="0"/>
        <w:jc w:val="left"/>
        <w:rPr>
          <w:rFonts w:cs="Arial"/>
          <w:b/>
          <w:color w:val="000000" w:themeColor="text1"/>
          <w:sz w:val="22"/>
          <w:szCs w:val="22"/>
        </w:rPr>
      </w:pPr>
      <w:r w:rsidRPr="00CE1695">
        <w:rPr>
          <w:rFonts w:cs="Arial"/>
          <w:sz w:val="22"/>
          <w:szCs w:val="22"/>
        </w:rPr>
        <w:lastRenderedPageBreak/>
        <w:t xml:space="preserve"> </w:t>
      </w:r>
    </w:p>
    <w:p w14:paraId="3D8CE028" w14:textId="77777777" w:rsidR="00212C6B" w:rsidRDefault="00212C6B">
      <w:pPr>
        <w:suppressAutoHyphens w:val="0"/>
        <w:jc w:val="left"/>
        <w:rPr>
          <w:rFonts w:cs="Arial"/>
          <w:b/>
          <w:color w:val="000000" w:themeColor="text1"/>
          <w:sz w:val="22"/>
          <w:szCs w:val="22"/>
        </w:rPr>
      </w:pPr>
      <w:r>
        <w:rPr>
          <w:rFonts w:cs="Arial"/>
          <w:b/>
          <w:color w:val="000000" w:themeColor="text1"/>
          <w:sz w:val="22"/>
          <w:szCs w:val="22"/>
        </w:rPr>
        <w:br w:type="page"/>
      </w:r>
    </w:p>
    <w:p w14:paraId="280AC5F6" w14:textId="248FD937" w:rsidR="003726A7" w:rsidRPr="00CE1695" w:rsidRDefault="002F6CA3" w:rsidP="00A9206D">
      <w:pPr>
        <w:suppressAutoHyphens w:val="0"/>
        <w:jc w:val="center"/>
        <w:rPr>
          <w:rFonts w:cs="Arial"/>
          <w:b/>
          <w:color w:val="000000" w:themeColor="text1"/>
          <w:sz w:val="22"/>
          <w:szCs w:val="22"/>
        </w:rPr>
      </w:pPr>
      <w:r w:rsidRPr="00CE1695">
        <w:rPr>
          <w:rFonts w:cs="Arial"/>
          <w:b/>
          <w:color w:val="000000" w:themeColor="text1"/>
          <w:sz w:val="22"/>
          <w:szCs w:val="22"/>
        </w:rPr>
        <w:lastRenderedPageBreak/>
        <w:t>Schedule 2</w:t>
      </w:r>
    </w:p>
    <w:p w14:paraId="149CC435" w14:textId="5CFE450A" w:rsidR="00A9206D" w:rsidRPr="00CE1695" w:rsidRDefault="002F6CA3" w:rsidP="00A9206D">
      <w:pPr>
        <w:suppressAutoHyphens w:val="0"/>
        <w:jc w:val="center"/>
        <w:rPr>
          <w:rFonts w:cs="Arial"/>
          <w:b/>
          <w:color w:val="000000" w:themeColor="text1"/>
          <w:sz w:val="22"/>
          <w:szCs w:val="22"/>
        </w:rPr>
      </w:pPr>
      <w:r w:rsidRPr="00CE1695">
        <w:rPr>
          <w:rFonts w:cs="Arial"/>
          <w:b/>
          <w:color w:val="000000" w:themeColor="text1"/>
          <w:sz w:val="22"/>
          <w:szCs w:val="22"/>
        </w:rPr>
        <w:t>Finance</w:t>
      </w:r>
    </w:p>
    <w:p w14:paraId="5D1FD043" w14:textId="77777777" w:rsidR="00A9206D" w:rsidRPr="00CE1695" w:rsidRDefault="00A9206D" w:rsidP="00A9206D">
      <w:pPr>
        <w:suppressAutoHyphens w:val="0"/>
        <w:jc w:val="left"/>
        <w:rPr>
          <w:rFonts w:cs="Arial"/>
          <w:color w:val="000000" w:themeColor="text1"/>
          <w:sz w:val="22"/>
          <w:szCs w:val="22"/>
        </w:rPr>
      </w:pPr>
    </w:p>
    <w:p w14:paraId="739DDDBC" w14:textId="3E960AB3" w:rsidR="000F49D8" w:rsidRPr="00CE1695" w:rsidRDefault="000F49D8" w:rsidP="000F49D8">
      <w:pPr>
        <w:rPr>
          <w:sz w:val="22"/>
          <w:szCs w:val="22"/>
        </w:rPr>
      </w:pPr>
      <w:r w:rsidRPr="00CE1695">
        <w:rPr>
          <w:sz w:val="22"/>
          <w:szCs w:val="22"/>
        </w:rPr>
        <w:t xml:space="preserve">Payment for delivery of the Services under this </w:t>
      </w:r>
      <w:r w:rsidR="0009072D" w:rsidRPr="00CE1695">
        <w:rPr>
          <w:sz w:val="22"/>
          <w:szCs w:val="22"/>
        </w:rPr>
        <w:t>Contract</w:t>
      </w:r>
      <w:r w:rsidRPr="00CE1695">
        <w:rPr>
          <w:sz w:val="22"/>
          <w:szCs w:val="22"/>
        </w:rPr>
        <w:t xml:space="preserve"> </w:t>
      </w:r>
      <w:r w:rsidR="0009072D" w:rsidRPr="00CE1695">
        <w:rPr>
          <w:sz w:val="22"/>
          <w:szCs w:val="22"/>
        </w:rPr>
        <w:t>sha</w:t>
      </w:r>
      <w:r w:rsidRPr="00CE1695">
        <w:rPr>
          <w:sz w:val="22"/>
          <w:szCs w:val="22"/>
        </w:rPr>
        <w:t>ll be:</w:t>
      </w:r>
    </w:p>
    <w:p w14:paraId="222FAD98" w14:textId="0E375CAD" w:rsidR="000F49D8" w:rsidRPr="00CE1695" w:rsidRDefault="00EC692B" w:rsidP="000F49D8">
      <w:pPr>
        <w:numPr>
          <w:ilvl w:val="0"/>
          <w:numId w:val="35"/>
        </w:numPr>
        <w:suppressAutoHyphens w:val="0"/>
        <w:jc w:val="left"/>
        <w:rPr>
          <w:sz w:val="22"/>
          <w:szCs w:val="22"/>
        </w:rPr>
      </w:pPr>
      <w:r w:rsidRPr="00CE1695">
        <w:rPr>
          <w:sz w:val="22"/>
          <w:szCs w:val="22"/>
        </w:rPr>
        <w:t>A o</w:t>
      </w:r>
      <w:r w:rsidR="0009072D" w:rsidRPr="00CE1695">
        <w:rPr>
          <w:sz w:val="22"/>
          <w:szCs w:val="22"/>
        </w:rPr>
        <w:t xml:space="preserve">ne-off </w:t>
      </w:r>
      <w:r w:rsidR="000F49D8" w:rsidRPr="00CE1695">
        <w:rPr>
          <w:sz w:val="22"/>
          <w:szCs w:val="22"/>
        </w:rPr>
        <w:t>set</w:t>
      </w:r>
      <w:r w:rsidR="0009072D" w:rsidRPr="00CE1695">
        <w:rPr>
          <w:sz w:val="22"/>
          <w:szCs w:val="22"/>
        </w:rPr>
        <w:t>-</w:t>
      </w:r>
      <w:r w:rsidR="000F49D8" w:rsidRPr="00CE1695">
        <w:rPr>
          <w:sz w:val="22"/>
          <w:szCs w:val="22"/>
        </w:rPr>
        <w:t xml:space="preserve">up </w:t>
      </w:r>
      <w:r w:rsidR="0009072D" w:rsidRPr="00CE1695">
        <w:rPr>
          <w:sz w:val="22"/>
          <w:szCs w:val="22"/>
        </w:rPr>
        <w:t>payment</w:t>
      </w:r>
      <w:r w:rsidR="000F49D8" w:rsidRPr="00CE1695">
        <w:rPr>
          <w:sz w:val="22"/>
          <w:szCs w:val="22"/>
        </w:rPr>
        <w:t xml:space="preserve"> of £1</w:t>
      </w:r>
      <w:r w:rsidR="0009072D" w:rsidRPr="00CE1695">
        <w:rPr>
          <w:sz w:val="22"/>
          <w:szCs w:val="22"/>
        </w:rPr>
        <w:t>0</w:t>
      </w:r>
      <w:r w:rsidR="000F49D8" w:rsidRPr="00CE1695">
        <w:rPr>
          <w:sz w:val="22"/>
          <w:szCs w:val="22"/>
        </w:rPr>
        <w:t xml:space="preserve">0 </w:t>
      </w:r>
      <w:r w:rsidR="00227461" w:rsidRPr="00CE1695">
        <w:rPr>
          <w:sz w:val="22"/>
          <w:szCs w:val="22"/>
        </w:rPr>
        <w:t xml:space="preserve">will be made to the Service Provider, </w:t>
      </w:r>
      <w:r w:rsidR="00694A35" w:rsidRPr="00CE1695">
        <w:rPr>
          <w:sz w:val="22"/>
          <w:szCs w:val="22"/>
        </w:rPr>
        <w:t xml:space="preserve">to cover initial </w:t>
      </w:r>
      <w:r w:rsidR="0088311C">
        <w:rPr>
          <w:sz w:val="22"/>
          <w:szCs w:val="22"/>
        </w:rPr>
        <w:t xml:space="preserve">start-up </w:t>
      </w:r>
      <w:r w:rsidR="00694A35" w:rsidRPr="00CE1695">
        <w:rPr>
          <w:sz w:val="22"/>
          <w:szCs w:val="22"/>
        </w:rPr>
        <w:t xml:space="preserve">costs which may include, but not be limited to, </w:t>
      </w:r>
      <w:r w:rsidR="0088311C">
        <w:rPr>
          <w:sz w:val="22"/>
          <w:szCs w:val="22"/>
        </w:rPr>
        <w:t>staff</w:t>
      </w:r>
      <w:r w:rsidR="00694A35" w:rsidRPr="00CE1695">
        <w:rPr>
          <w:sz w:val="22"/>
          <w:szCs w:val="22"/>
        </w:rPr>
        <w:t xml:space="preserve"> training</w:t>
      </w:r>
      <w:r w:rsidR="0088311C">
        <w:rPr>
          <w:sz w:val="22"/>
          <w:szCs w:val="22"/>
        </w:rPr>
        <w:t xml:space="preserve"> and developing a SOP for the Service</w:t>
      </w:r>
      <w:r w:rsidR="00694A35" w:rsidRPr="00CE1695">
        <w:rPr>
          <w:sz w:val="22"/>
          <w:szCs w:val="22"/>
        </w:rPr>
        <w:t>. This payment will be made in arrears after the end of the quarter in which the Service Provider is commissioned to deliver the Service,</w:t>
      </w:r>
    </w:p>
    <w:p w14:paraId="3DA2AC4E" w14:textId="0F949329" w:rsidR="0009072D" w:rsidRPr="00CE1695" w:rsidRDefault="0009072D" w:rsidP="0009072D">
      <w:pPr>
        <w:numPr>
          <w:ilvl w:val="0"/>
          <w:numId w:val="35"/>
        </w:numPr>
        <w:suppressAutoHyphens w:val="0"/>
        <w:jc w:val="left"/>
        <w:rPr>
          <w:sz w:val="22"/>
          <w:szCs w:val="22"/>
        </w:rPr>
      </w:pPr>
      <w:r w:rsidRPr="00CE1695">
        <w:rPr>
          <w:sz w:val="22"/>
          <w:szCs w:val="22"/>
        </w:rPr>
        <w:t>A fee of</w:t>
      </w:r>
      <w:r w:rsidR="00694A35" w:rsidRPr="00CE1695">
        <w:rPr>
          <w:sz w:val="22"/>
          <w:szCs w:val="22"/>
        </w:rPr>
        <w:t xml:space="preserve"> £20 per </w:t>
      </w:r>
      <w:r w:rsidR="00EE35A5" w:rsidRPr="00CE1695">
        <w:rPr>
          <w:sz w:val="22"/>
          <w:szCs w:val="22"/>
        </w:rPr>
        <w:t xml:space="preserve">each </w:t>
      </w:r>
      <w:r w:rsidR="0088311C">
        <w:rPr>
          <w:sz w:val="22"/>
          <w:szCs w:val="22"/>
        </w:rPr>
        <w:t>supply of</w:t>
      </w:r>
      <w:r w:rsidR="00EE35A5" w:rsidRPr="00CE1695">
        <w:rPr>
          <w:sz w:val="22"/>
          <w:szCs w:val="22"/>
        </w:rPr>
        <w:t xml:space="preserve"> </w:t>
      </w:r>
      <w:r w:rsidR="000E3EED" w:rsidRPr="00CE1695">
        <w:rPr>
          <w:sz w:val="22"/>
          <w:szCs w:val="22"/>
        </w:rPr>
        <w:t xml:space="preserve">THN, </w:t>
      </w:r>
      <w:r w:rsidR="00EC692B" w:rsidRPr="00CE1695">
        <w:rPr>
          <w:sz w:val="22"/>
          <w:szCs w:val="22"/>
        </w:rPr>
        <w:t>irrespective of the</w:t>
      </w:r>
      <w:r w:rsidR="00CA796F" w:rsidRPr="00CE1695">
        <w:rPr>
          <w:sz w:val="22"/>
          <w:szCs w:val="22"/>
        </w:rPr>
        <w:t xml:space="preserve"> type </w:t>
      </w:r>
      <w:r w:rsidR="007E3A1E">
        <w:rPr>
          <w:sz w:val="22"/>
          <w:szCs w:val="22"/>
        </w:rPr>
        <w:t xml:space="preserve">and quantity </w:t>
      </w:r>
      <w:r w:rsidR="00CA796F" w:rsidRPr="00CE1695">
        <w:rPr>
          <w:sz w:val="22"/>
          <w:szCs w:val="22"/>
        </w:rPr>
        <w:t>of</w:t>
      </w:r>
      <w:r w:rsidR="00EE35A5" w:rsidRPr="00CE1695">
        <w:rPr>
          <w:sz w:val="22"/>
          <w:szCs w:val="22"/>
        </w:rPr>
        <w:t xml:space="preserve"> </w:t>
      </w:r>
      <w:r w:rsidR="007E3A1E">
        <w:rPr>
          <w:sz w:val="22"/>
          <w:szCs w:val="22"/>
        </w:rPr>
        <w:t xml:space="preserve">the </w:t>
      </w:r>
      <w:r w:rsidR="00EC692B" w:rsidRPr="00CE1695">
        <w:rPr>
          <w:sz w:val="22"/>
          <w:szCs w:val="22"/>
        </w:rPr>
        <w:t xml:space="preserve">THN </w:t>
      </w:r>
      <w:r w:rsidR="00DF28A9" w:rsidRPr="00CE1695">
        <w:rPr>
          <w:sz w:val="22"/>
          <w:szCs w:val="22"/>
        </w:rPr>
        <w:t>product</w:t>
      </w:r>
      <w:r w:rsidR="00CA796F" w:rsidRPr="00CE1695">
        <w:rPr>
          <w:sz w:val="22"/>
          <w:szCs w:val="22"/>
        </w:rPr>
        <w:t xml:space="preserve"> </w:t>
      </w:r>
      <w:r w:rsidR="000E3EED" w:rsidRPr="00CE1695">
        <w:rPr>
          <w:sz w:val="22"/>
          <w:szCs w:val="22"/>
        </w:rPr>
        <w:t>supplied</w:t>
      </w:r>
      <w:r w:rsidR="00501357" w:rsidRPr="00CE1695">
        <w:rPr>
          <w:sz w:val="22"/>
          <w:szCs w:val="22"/>
        </w:rPr>
        <w:t xml:space="preserve"> </w:t>
      </w:r>
      <w:r w:rsidR="00227461" w:rsidRPr="00CE1695">
        <w:rPr>
          <w:sz w:val="22"/>
          <w:szCs w:val="22"/>
        </w:rPr>
        <w:t>or</w:t>
      </w:r>
      <w:r w:rsidR="00EC692B" w:rsidRPr="00CE1695">
        <w:rPr>
          <w:sz w:val="22"/>
          <w:szCs w:val="22"/>
        </w:rPr>
        <w:t xml:space="preserve"> whether it is a first</w:t>
      </w:r>
      <w:r w:rsidR="00501357" w:rsidRPr="00CE1695">
        <w:rPr>
          <w:sz w:val="22"/>
          <w:szCs w:val="22"/>
        </w:rPr>
        <w:t>-time</w:t>
      </w:r>
      <w:r w:rsidR="00EC692B" w:rsidRPr="00CE1695">
        <w:rPr>
          <w:sz w:val="22"/>
          <w:szCs w:val="22"/>
        </w:rPr>
        <w:t xml:space="preserve"> or replacement supply</w:t>
      </w:r>
      <w:r w:rsidR="007E3A1E">
        <w:rPr>
          <w:sz w:val="22"/>
          <w:szCs w:val="22"/>
        </w:rPr>
        <w:t xml:space="preserve"> to the recipient</w:t>
      </w:r>
      <w:r w:rsidR="00EC692B" w:rsidRPr="00CE1695">
        <w:rPr>
          <w:sz w:val="22"/>
          <w:szCs w:val="22"/>
        </w:rPr>
        <w:t>.</w:t>
      </w:r>
    </w:p>
    <w:p w14:paraId="1A235BA4" w14:textId="77777777" w:rsidR="000F49D8" w:rsidRPr="00CE1695" w:rsidRDefault="000F49D8" w:rsidP="000F49D8">
      <w:pPr>
        <w:rPr>
          <w:sz w:val="22"/>
          <w:szCs w:val="22"/>
        </w:rPr>
      </w:pPr>
    </w:p>
    <w:p w14:paraId="597F57A0" w14:textId="6AAAD948" w:rsidR="000F49D8" w:rsidRPr="00CE1695" w:rsidRDefault="000F49D8" w:rsidP="000F49D8">
      <w:pPr>
        <w:rPr>
          <w:sz w:val="22"/>
          <w:szCs w:val="22"/>
        </w:rPr>
      </w:pPr>
      <w:r w:rsidRPr="00CE1695">
        <w:rPr>
          <w:sz w:val="22"/>
          <w:szCs w:val="22"/>
        </w:rPr>
        <w:t>Payments will be made</w:t>
      </w:r>
      <w:r w:rsidR="00EC692B" w:rsidRPr="00CE1695">
        <w:rPr>
          <w:sz w:val="22"/>
          <w:szCs w:val="22"/>
        </w:rPr>
        <w:t xml:space="preserve"> quarterly</w:t>
      </w:r>
      <w:r w:rsidRPr="00CE1695">
        <w:rPr>
          <w:sz w:val="22"/>
          <w:szCs w:val="22"/>
        </w:rPr>
        <w:t xml:space="preserve"> in arrears</w:t>
      </w:r>
      <w:r w:rsidR="00EC692B" w:rsidRPr="00CE1695">
        <w:rPr>
          <w:sz w:val="22"/>
          <w:szCs w:val="22"/>
        </w:rPr>
        <w:t xml:space="preserve"> </w:t>
      </w:r>
      <w:r w:rsidRPr="00CE1695">
        <w:rPr>
          <w:sz w:val="22"/>
          <w:szCs w:val="22"/>
        </w:rPr>
        <w:t>o</w:t>
      </w:r>
      <w:r w:rsidR="00EC692B" w:rsidRPr="00CE1695">
        <w:rPr>
          <w:sz w:val="22"/>
          <w:szCs w:val="22"/>
        </w:rPr>
        <w:t>n</w:t>
      </w:r>
      <w:r w:rsidRPr="00CE1695">
        <w:rPr>
          <w:sz w:val="22"/>
          <w:szCs w:val="22"/>
        </w:rPr>
        <w:t xml:space="preserve"> receipt of </w:t>
      </w:r>
      <w:r w:rsidR="00EC692B" w:rsidRPr="00CE1695">
        <w:rPr>
          <w:sz w:val="22"/>
          <w:szCs w:val="22"/>
        </w:rPr>
        <w:t>data collected on the Council’s data system – currently PharmOutcomes. Data will be collected from the system 28 days after the quarter end. Payments will be calculated based on the data input onto the system by this date.</w:t>
      </w:r>
    </w:p>
    <w:p w14:paraId="34F6D16C" w14:textId="77777777" w:rsidR="00820A37" w:rsidRPr="00CE1695" w:rsidRDefault="00820A37" w:rsidP="000F49D8">
      <w:pPr>
        <w:rPr>
          <w:sz w:val="22"/>
          <w:szCs w:val="22"/>
        </w:rPr>
      </w:pPr>
    </w:p>
    <w:p w14:paraId="6A24BC42" w14:textId="64EBC758" w:rsidR="00820A37" w:rsidRPr="00CE1695" w:rsidRDefault="00820A37" w:rsidP="000F49D8">
      <w:pPr>
        <w:rPr>
          <w:sz w:val="22"/>
          <w:szCs w:val="22"/>
        </w:rPr>
      </w:pPr>
      <w:r w:rsidRPr="00CE1695">
        <w:rPr>
          <w:sz w:val="22"/>
          <w:szCs w:val="22"/>
        </w:rPr>
        <w:t>Payment will be made in line with the current Payment Process for Supervised Consumption and SWOP Services</w:t>
      </w:r>
    </w:p>
    <w:p w14:paraId="0551860C" w14:textId="77777777" w:rsidR="000F49D8" w:rsidRPr="00CE1695" w:rsidRDefault="000F49D8" w:rsidP="000F49D8">
      <w:pPr>
        <w:rPr>
          <w:sz w:val="22"/>
          <w:szCs w:val="22"/>
        </w:rPr>
      </w:pPr>
    </w:p>
    <w:p w14:paraId="23902392" w14:textId="2A04630F" w:rsidR="000F49D8" w:rsidRPr="00CE1695" w:rsidRDefault="000F49D8" w:rsidP="000F49D8">
      <w:pPr>
        <w:rPr>
          <w:sz w:val="22"/>
          <w:szCs w:val="22"/>
        </w:rPr>
      </w:pPr>
      <w:r w:rsidRPr="00CE1695">
        <w:rPr>
          <w:sz w:val="22"/>
          <w:szCs w:val="22"/>
        </w:rPr>
        <w:t xml:space="preserve">Any queries regarding payments should be taken up with the </w:t>
      </w:r>
      <w:r w:rsidR="00EC692B" w:rsidRPr="00CE1695">
        <w:rPr>
          <w:sz w:val="22"/>
          <w:szCs w:val="22"/>
        </w:rPr>
        <w:t xml:space="preserve">Council’s </w:t>
      </w:r>
      <w:r w:rsidRPr="00CE1695">
        <w:rPr>
          <w:sz w:val="22"/>
          <w:szCs w:val="22"/>
        </w:rPr>
        <w:t>Public Health team.</w:t>
      </w:r>
    </w:p>
    <w:p w14:paraId="184EE7FE" w14:textId="77777777" w:rsidR="003B335F" w:rsidRPr="00CE1695" w:rsidRDefault="003B335F">
      <w:pPr>
        <w:suppressAutoHyphens w:val="0"/>
        <w:jc w:val="left"/>
        <w:rPr>
          <w:rFonts w:cs="Arial"/>
          <w:color w:val="FF0000"/>
          <w:sz w:val="22"/>
          <w:szCs w:val="22"/>
        </w:rPr>
      </w:pPr>
      <w:r w:rsidRPr="00CE1695">
        <w:rPr>
          <w:rFonts w:cs="Arial"/>
          <w:color w:val="FF0000"/>
          <w:sz w:val="22"/>
          <w:szCs w:val="22"/>
        </w:rPr>
        <w:br w:type="page"/>
      </w:r>
    </w:p>
    <w:bookmarkEnd w:id="0"/>
    <w:bookmarkEnd w:id="1"/>
    <w:p w14:paraId="59994E2E" w14:textId="3E08AAD5" w:rsidR="00A9206D" w:rsidRPr="00CE1695" w:rsidRDefault="002F6CA3" w:rsidP="003726A7">
      <w:pPr>
        <w:suppressAutoHyphens w:val="0"/>
        <w:autoSpaceDE w:val="0"/>
        <w:autoSpaceDN w:val="0"/>
        <w:adjustRightInd w:val="0"/>
        <w:jc w:val="center"/>
        <w:rPr>
          <w:rFonts w:cs="Arial"/>
          <w:b/>
          <w:bCs/>
          <w:sz w:val="22"/>
          <w:szCs w:val="22"/>
        </w:rPr>
      </w:pPr>
      <w:r w:rsidRPr="00CE1695">
        <w:rPr>
          <w:rFonts w:cs="Arial"/>
          <w:b/>
          <w:bCs/>
          <w:sz w:val="22"/>
          <w:szCs w:val="22"/>
        </w:rPr>
        <w:lastRenderedPageBreak/>
        <w:t>Schedule 3</w:t>
      </w:r>
    </w:p>
    <w:p w14:paraId="0B026FC8" w14:textId="7026C677" w:rsidR="003726A7" w:rsidRPr="00CE1695" w:rsidRDefault="002F6CA3" w:rsidP="003726A7">
      <w:pPr>
        <w:suppressAutoHyphens w:val="0"/>
        <w:autoSpaceDE w:val="0"/>
        <w:autoSpaceDN w:val="0"/>
        <w:adjustRightInd w:val="0"/>
        <w:jc w:val="center"/>
        <w:rPr>
          <w:rFonts w:cs="Arial"/>
          <w:b/>
          <w:bCs/>
          <w:sz w:val="22"/>
          <w:szCs w:val="22"/>
        </w:rPr>
      </w:pPr>
      <w:r w:rsidRPr="00CE1695">
        <w:rPr>
          <w:rFonts w:cs="Arial"/>
          <w:b/>
          <w:bCs/>
          <w:sz w:val="22"/>
          <w:szCs w:val="22"/>
        </w:rPr>
        <w:t>Monitoring and Review</w:t>
      </w:r>
    </w:p>
    <w:p w14:paraId="4C5DAF4A" w14:textId="77777777" w:rsidR="002A27DC" w:rsidRPr="00CE1695" w:rsidRDefault="002A27DC" w:rsidP="003726A7">
      <w:pPr>
        <w:suppressAutoHyphens w:val="0"/>
        <w:autoSpaceDE w:val="0"/>
        <w:autoSpaceDN w:val="0"/>
        <w:adjustRightInd w:val="0"/>
        <w:jc w:val="center"/>
        <w:rPr>
          <w:rFonts w:cs="Arial"/>
          <w:b/>
          <w:bCs/>
          <w:sz w:val="22"/>
          <w:szCs w:val="22"/>
        </w:rPr>
      </w:pPr>
    </w:p>
    <w:p w14:paraId="3643A6B7" w14:textId="77777777" w:rsidR="002A27DC" w:rsidRPr="00CE1695" w:rsidRDefault="002A27DC" w:rsidP="003726A7">
      <w:pPr>
        <w:suppressAutoHyphens w:val="0"/>
        <w:autoSpaceDE w:val="0"/>
        <w:autoSpaceDN w:val="0"/>
        <w:adjustRightInd w:val="0"/>
        <w:jc w:val="center"/>
        <w:rPr>
          <w:rFonts w:cs="Arial"/>
          <w:b/>
          <w:bCs/>
          <w:sz w:val="22"/>
          <w:szCs w:val="22"/>
        </w:rPr>
      </w:pPr>
    </w:p>
    <w:p w14:paraId="68A049F3" w14:textId="77777777" w:rsidR="00EA2085" w:rsidRPr="00CE1695" w:rsidRDefault="00C129DA" w:rsidP="00C129DA">
      <w:pPr>
        <w:rPr>
          <w:sz w:val="22"/>
          <w:szCs w:val="22"/>
        </w:rPr>
      </w:pPr>
      <w:r w:rsidRPr="00CE1695">
        <w:rPr>
          <w:sz w:val="22"/>
          <w:szCs w:val="22"/>
        </w:rPr>
        <w:t xml:space="preserve">The Service Provider shall </w:t>
      </w:r>
    </w:p>
    <w:p w14:paraId="3E445477" w14:textId="0052AA39" w:rsidR="004A17D0" w:rsidRPr="00CE1695" w:rsidRDefault="00EA2085" w:rsidP="00EA2085">
      <w:pPr>
        <w:pStyle w:val="ListParagraph"/>
        <w:numPr>
          <w:ilvl w:val="0"/>
          <w:numId w:val="45"/>
        </w:numPr>
        <w:rPr>
          <w:sz w:val="22"/>
          <w:szCs w:val="22"/>
        </w:rPr>
      </w:pPr>
      <w:r w:rsidRPr="00CE1695">
        <w:rPr>
          <w:sz w:val="22"/>
          <w:szCs w:val="22"/>
        </w:rPr>
        <w:t>D</w:t>
      </w:r>
      <w:r w:rsidR="004A17D0" w:rsidRPr="00CE1695">
        <w:rPr>
          <w:sz w:val="22"/>
          <w:szCs w:val="22"/>
        </w:rPr>
        <w:t>emonstrate that the Lead Pharmacist/ Staff member has undertaken the training relevant to this Service.</w:t>
      </w:r>
    </w:p>
    <w:p w14:paraId="43B17907" w14:textId="5D522CEB" w:rsidR="00EA2085" w:rsidRDefault="00EA2085" w:rsidP="00AC4C16">
      <w:pPr>
        <w:pStyle w:val="ListParagraph"/>
        <w:numPr>
          <w:ilvl w:val="0"/>
          <w:numId w:val="45"/>
        </w:numPr>
        <w:rPr>
          <w:sz w:val="22"/>
          <w:szCs w:val="22"/>
        </w:rPr>
      </w:pPr>
      <w:r w:rsidRPr="00CE1695">
        <w:rPr>
          <w:sz w:val="22"/>
          <w:szCs w:val="22"/>
        </w:rPr>
        <w:t>Participate in any National or Council-organised audits of the Service</w:t>
      </w:r>
      <w:r w:rsidR="008860C2" w:rsidRPr="00CE1695">
        <w:rPr>
          <w:sz w:val="22"/>
          <w:szCs w:val="22"/>
        </w:rPr>
        <w:t>, as required</w:t>
      </w:r>
      <w:r w:rsidRPr="00CE1695">
        <w:rPr>
          <w:sz w:val="22"/>
          <w:szCs w:val="22"/>
        </w:rPr>
        <w:t>.</w:t>
      </w:r>
    </w:p>
    <w:p w14:paraId="458D66AD" w14:textId="0884B9EF" w:rsidR="00EA6DBA" w:rsidRPr="00CE1695" w:rsidRDefault="00EA6DBA" w:rsidP="00AC4C16">
      <w:pPr>
        <w:pStyle w:val="ListParagraph"/>
        <w:numPr>
          <w:ilvl w:val="0"/>
          <w:numId w:val="45"/>
        </w:numPr>
        <w:rPr>
          <w:sz w:val="22"/>
          <w:szCs w:val="22"/>
        </w:rPr>
      </w:pPr>
      <w:r>
        <w:rPr>
          <w:sz w:val="22"/>
          <w:szCs w:val="22"/>
        </w:rPr>
        <w:t xml:space="preserve">Participate in </w:t>
      </w:r>
      <w:r w:rsidR="007D665F">
        <w:rPr>
          <w:sz w:val="22"/>
          <w:szCs w:val="22"/>
        </w:rPr>
        <w:t xml:space="preserve">any </w:t>
      </w:r>
      <w:r>
        <w:rPr>
          <w:sz w:val="22"/>
          <w:szCs w:val="22"/>
        </w:rPr>
        <w:t>locally agreed Council assessment of the Service and/or Service User experience, as required.</w:t>
      </w:r>
    </w:p>
    <w:p w14:paraId="348B8826" w14:textId="77777777" w:rsidR="004A17D0" w:rsidRPr="00CE1695" w:rsidRDefault="004A17D0" w:rsidP="00C129DA">
      <w:pPr>
        <w:rPr>
          <w:sz w:val="22"/>
          <w:szCs w:val="22"/>
        </w:rPr>
      </w:pPr>
    </w:p>
    <w:p w14:paraId="70018D0D" w14:textId="6361DA62" w:rsidR="004A17D0" w:rsidRPr="00CE1695" w:rsidRDefault="004A17D0" w:rsidP="00C129DA">
      <w:pPr>
        <w:rPr>
          <w:sz w:val="22"/>
          <w:szCs w:val="22"/>
        </w:rPr>
      </w:pPr>
      <w:r w:rsidRPr="00CE1695">
        <w:rPr>
          <w:sz w:val="22"/>
          <w:szCs w:val="22"/>
        </w:rPr>
        <w:t xml:space="preserve">The Service Provider </w:t>
      </w:r>
      <w:r w:rsidR="0081137B" w:rsidRPr="00CE1695">
        <w:rPr>
          <w:sz w:val="22"/>
          <w:szCs w:val="22"/>
        </w:rPr>
        <w:t xml:space="preserve">shall upload activity data onto the web-based system provided by the Commissioner – currently PharmOutcomes, within 28 days of the end of </w:t>
      </w:r>
      <w:r w:rsidR="000B34D6" w:rsidRPr="00CE1695">
        <w:rPr>
          <w:sz w:val="22"/>
          <w:szCs w:val="22"/>
        </w:rPr>
        <w:t>each</w:t>
      </w:r>
      <w:r w:rsidR="0081137B" w:rsidRPr="00CE1695">
        <w:rPr>
          <w:sz w:val="22"/>
          <w:szCs w:val="22"/>
        </w:rPr>
        <w:t xml:space="preserve"> month in which activity </w:t>
      </w:r>
      <w:r w:rsidR="000B34D6" w:rsidRPr="00CE1695">
        <w:rPr>
          <w:sz w:val="22"/>
          <w:szCs w:val="22"/>
        </w:rPr>
        <w:t>i</w:t>
      </w:r>
      <w:r w:rsidR="0081137B" w:rsidRPr="00CE1695">
        <w:rPr>
          <w:sz w:val="22"/>
          <w:szCs w:val="22"/>
        </w:rPr>
        <w:t xml:space="preserve">s delivered. </w:t>
      </w:r>
      <w:r w:rsidR="00AC4833" w:rsidRPr="00CE1695">
        <w:rPr>
          <w:sz w:val="22"/>
          <w:szCs w:val="22"/>
        </w:rPr>
        <w:t>The Service Provider shall record data on the following, for each THN supply:</w:t>
      </w:r>
    </w:p>
    <w:p w14:paraId="09B7089D" w14:textId="77777777" w:rsidR="0081137B" w:rsidRPr="00CE1695" w:rsidRDefault="0081137B" w:rsidP="00C129DA">
      <w:pPr>
        <w:rPr>
          <w:sz w:val="22"/>
          <w:szCs w:val="22"/>
        </w:rPr>
      </w:pPr>
    </w:p>
    <w:p w14:paraId="2E81D592" w14:textId="687E5BFC" w:rsidR="002F6CA3" w:rsidRPr="00CE1695" w:rsidRDefault="002F6CA3" w:rsidP="0081137B">
      <w:pPr>
        <w:pStyle w:val="ListParagraph"/>
        <w:numPr>
          <w:ilvl w:val="0"/>
          <w:numId w:val="44"/>
        </w:numPr>
        <w:rPr>
          <w:sz w:val="22"/>
          <w:szCs w:val="22"/>
        </w:rPr>
      </w:pPr>
      <w:r w:rsidRPr="00CE1695">
        <w:rPr>
          <w:sz w:val="22"/>
          <w:szCs w:val="22"/>
        </w:rPr>
        <w:t>Date of supply</w:t>
      </w:r>
      <w:r w:rsidR="004A4B68">
        <w:rPr>
          <w:sz w:val="22"/>
          <w:szCs w:val="22"/>
        </w:rPr>
        <w:t>,</w:t>
      </w:r>
    </w:p>
    <w:p w14:paraId="35EA3F34" w14:textId="047BAF4C" w:rsidR="006C1D7F" w:rsidRPr="004A4B68" w:rsidRDefault="00081CD1" w:rsidP="006C1D7F">
      <w:pPr>
        <w:pStyle w:val="ListParagraph"/>
        <w:numPr>
          <w:ilvl w:val="0"/>
          <w:numId w:val="44"/>
        </w:numPr>
        <w:rPr>
          <w:sz w:val="22"/>
          <w:szCs w:val="22"/>
        </w:rPr>
      </w:pPr>
      <w:r w:rsidRPr="00CE1695">
        <w:rPr>
          <w:sz w:val="22"/>
          <w:szCs w:val="22"/>
        </w:rPr>
        <w:t>The recipient of the THN kit – i.e., at-risk individual, family member, friend, support worker/ carer, or other</w:t>
      </w:r>
      <w:r w:rsidR="004A4B68">
        <w:rPr>
          <w:sz w:val="22"/>
          <w:szCs w:val="22"/>
        </w:rPr>
        <w:t>,</w:t>
      </w:r>
    </w:p>
    <w:p w14:paraId="55165FCA" w14:textId="3096B70C" w:rsidR="004A4B68" w:rsidRPr="00CE1695" w:rsidRDefault="004A4B68" w:rsidP="004A4B68">
      <w:pPr>
        <w:pStyle w:val="ListParagraph"/>
        <w:numPr>
          <w:ilvl w:val="0"/>
          <w:numId w:val="44"/>
        </w:numPr>
        <w:rPr>
          <w:sz w:val="22"/>
          <w:szCs w:val="22"/>
        </w:rPr>
      </w:pPr>
      <w:r w:rsidRPr="00CE1695">
        <w:rPr>
          <w:sz w:val="22"/>
          <w:szCs w:val="22"/>
        </w:rPr>
        <w:t>Whether it is a first-time or replacement supply; If it is a replacement supply – what is the reason for replacement (i.e., used, expired, lost, etc.)</w:t>
      </w:r>
      <w:r>
        <w:rPr>
          <w:sz w:val="22"/>
          <w:szCs w:val="22"/>
        </w:rPr>
        <w:t>,</w:t>
      </w:r>
    </w:p>
    <w:p w14:paraId="13E32C8C" w14:textId="0FFB6404" w:rsidR="004A4B68" w:rsidRPr="00CE1695" w:rsidRDefault="004A4B68" w:rsidP="004A4B68">
      <w:pPr>
        <w:pStyle w:val="ListParagraph"/>
        <w:numPr>
          <w:ilvl w:val="0"/>
          <w:numId w:val="44"/>
        </w:numPr>
        <w:rPr>
          <w:sz w:val="22"/>
          <w:szCs w:val="22"/>
        </w:rPr>
      </w:pPr>
      <w:r w:rsidRPr="00CE1695">
        <w:rPr>
          <w:sz w:val="22"/>
          <w:szCs w:val="22"/>
        </w:rPr>
        <w:t xml:space="preserve">Confirmation of recipient’s verbal consent to receive THN and training </w:t>
      </w:r>
      <w:r>
        <w:rPr>
          <w:sz w:val="22"/>
          <w:szCs w:val="22"/>
        </w:rPr>
        <w:t>o</w:t>
      </w:r>
      <w:r w:rsidRPr="00CE1695">
        <w:rPr>
          <w:sz w:val="22"/>
          <w:szCs w:val="22"/>
        </w:rPr>
        <w:t>n its use, with each supply of a THN kit</w:t>
      </w:r>
      <w:r>
        <w:rPr>
          <w:sz w:val="22"/>
          <w:szCs w:val="22"/>
        </w:rPr>
        <w:t>,</w:t>
      </w:r>
    </w:p>
    <w:p w14:paraId="74C7B5BB" w14:textId="43D18DB7" w:rsidR="002F6CA3" w:rsidRDefault="008860C2" w:rsidP="0081137B">
      <w:pPr>
        <w:pStyle w:val="ListParagraph"/>
        <w:numPr>
          <w:ilvl w:val="0"/>
          <w:numId w:val="44"/>
        </w:numPr>
        <w:rPr>
          <w:sz w:val="22"/>
          <w:szCs w:val="22"/>
        </w:rPr>
      </w:pPr>
      <w:r w:rsidRPr="00CE1695">
        <w:rPr>
          <w:sz w:val="22"/>
          <w:szCs w:val="22"/>
        </w:rPr>
        <w:t>Type of THN product supplied</w:t>
      </w:r>
      <w:r w:rsidR="0066300B" w:rsidRPr="00CE1695">
        <w:rPr>
          <w:sz w:val="22"/>
          <w:szCs w:val="22"/>
        </w:rPr>
        <w:t xml:space="preserve"> (i.e., </w:t>
      </w:r>
      <w:proofErr w:type="spellStart"/>
      <w:r w:rsidR="0066300B" w:rsidRPr="00CE1695">
        <w:rPr>
          <w:sz w:val="22"/>
          <w:szCs w:val="22"/>
        </w:rPr>
        <w:t>Nyxoid</w:t>
      </w:r>
      <w:proofErr w:type="spellEnd"/>
      <w:r w:rsidR="0066300B" w:rsidRPr="00CE1695">
        <w:rPr>
          <w:sz w:val="22"/>
          <w:szCs w:val="22"/>
        </w:rPr>
        <w:t xml:space="preserve">, Pebble, or </w:t>
      </w:r>
      <w:proofErr w:type="spellStart"/>
      <w:r w:rsidR="0066300B" w:rsidRPr="00CE1695">
        <w:rPr>
          <w:sz w:val="22"/>
          <w:szCs w:val="22"/>
        </w:rPr>
        <w:t>Prenoxad</w:t>
      </w:r>
      <w:proofErr w:type="spellEnd"/>
      <w:r w:rsidR="0066300B" w:rsidRPr="00CE1695">
        <w:rPr>
          <w:sz w:val="22"/>
          <w:szCs w:val="22"/>
        </w:rPr>
        <w:t>)</w:t>
      </w:r>
      <w:r w:rsidR="004A4B68">
        <w:rPr>
          <w:sz w:val="22"/>
          <w:szCs w:val="22"/>
        </w:rPr>
        <w:t>,</w:t>
      </w:r>
    </w:p>
    <w:p w14:paraId="489BF8AC" w14:textId="2CAED639" w:rsidR="006C1D7F" w:rsidRPr="00CE1695" w:rsidRDefault="006C1D7F" w:rsidP="0081137B">
      <w:pPr>
        <w:pStyle w:val="ListParagraph"/>
        <w:numPr>
          <w:ilvl w:val="0"/>
          <w:numId w:val="44"/>
        </w:numPr>
        <w:rPr>
          <w:sz w:val="22"/>
          <w:szCs w:val="22"/>
        </w:rPr>
      </w:pPr>
      <w:r>
        <w:rPr>
          <w:sz w:val="22"/>
          <w:szCs w:val="22"/>
        </w:rPr>
        <w:t>Quantity</w:t>
      </w:r>
      <w:r w:rsidR="004A4B68">
        <w:rPr>
          <w:sz w:val="22"/>
          <w:szCs w:val="22"/>
        </w:rPr>
        <w:t>,</w:t>
      </w:r>
    </w:p>
    <w:p w14:paraId="11C2554C" w14:textId="20081B24" w:rsidR="008860C2" w:rsidRPr="00CE1695" w:rsidRDefault="004112E5" w:rsidP="00AC4C16">
      <w:pPr>
        <w:pStyle w:val="ListParagraph"/>
        <w:numPr>
          <w:ilvl w:val="0"/>
          <w:numId w:val="44"/>
        </w:numPr>
        <w:rPr>
          <w:sz w:val="22"/>
          <w:szCs w:val="22"/>
        </w:rPr>
      </w:pPr>
      <w:r w:rsidRPr="00CE1695">
        <w:rPr>
          <w:sz w:val="22"/>
          <w:szCs w:val="22"/>
        </w:rPr>
        <w:t>Batch number and expiry date</w:t>
      </w:r>
      <w:r w:rsidR="002F6CA3" w:rsidRPr="00CE1695">
        <w:rPr>
          <w:sz w:val="22"/>
          <w:szCs w:val="22"/>
        </w:rPr>
        <w:t xml:space="preserve"> of </w:t>
      </w:r>
      <w:r w:rsidR="00AC4833" w:rsidRPr="00CE1695">
        <w:rPr>
          <w:sz w:val="22"/>
          <w:szCs w:val="22"/>
        </w:rPr>
        <w:t xml:space="preserve">the </w:t>
      </w:r>
      <w:r w:rsidR="002F6CA3" w:rsidRPr="00CE1695">
        <w:rPr>
          <w:sz w:val="22"/>
          <w:szCs w:val="22"/>
        </w:rPr>
        <w:t>THN kit</w:t>
      </w:r>
      <w:r w:rsidR="00AC4833" w:rsidRPr="00CE1695">
        <w:rPr>
          <w:sz w:val="22"/>
          <w:szCs w:val="22"/>
        </w:rPr>
        <w:t xml:space="preserve"> supplied</w:t>
      </w:r>
      <w:r w:rsidR="002F6CA3" w:rsidRPr="00CE1695">
        <w:rPr>
          <w:sz w:val="22"/>
          <w:szCs w:val="22"/>
        </w:rPr>
        <w:t>.</w:t>
      </w:r>
    </w:p>
    <w:p w14:paraId="6FAF4E9D" w14:textId="14BBA2EC" w:rsidR="002A27DC" w:rsidRPr="00CE1695" w:rsidRDefault="00C70B3F">
      <w:pPr>
        <w:suppressAutoHyphens w:val="0"/>
        <w:jc w:val="left"/>
        <w:rPr>
          <w:rFonts w:cs="Arial"/>
          <w:b/>
          <w:bCs/>
          <w:sz w:val="22"/>
          <w:szCs w:val="22"/>
        </w:rPr>
      </w:pPr>
      <w:r w:rsidRPr="00CE1695">
        <w:rPr>
          <w:rFonts w:cs="Arial"/>
          <w:b/>
          <w:bCs/>
          <w:sz w:val="22"/>
          <w:szCs w:val="22"/>
        </w:rPr>
        <w:br w:type="page"/>
      </w:r>
    </w:p>
    <w:p w14:paraId="3DD67B57" w14:textId="07D88A46" w:rsidR="002A27DC" w:rsidRPr="00CE1695" w:rsidRDefault="002A27DC" w:rsidP="002A27DC">
      <w:pPr>
        <w:suppressAutoHyphens w:val="0"/>
        <w:autoSpaceDE w:val="0"/>
        <w:autoSpaceDN w:val="0"/>
        <w:adjustRightInd w:val="0"/>
        <w:jc w:val="center"/>
        <w:rPr>
          <w:rFonts w:cs="Arial"/>
          <w:b/>
          <w:bCs/>
          <w:sz w:val="22"/>
          <w:szCs w:val="22"/>
        </w:rPr>
      </w:pPr>
      <w:r w:rsidRPr="00CE1695">
        <w:rPr>
          <w:rFonts w:cs="Arial"/>
          <w:b/>
          <w:bCs/>
          <w:sz w:val="22"/>
          <w:szCs w:val="22"/>
        </w:rPr>
        <w:lastRenderedPageBreak/>
        <w:t>ANNEX A</w:t>
      </w:r>
    </w:p>
    <w:p w14:paraId="502C323F" w14:textId="2FA095A1" w:rsidR="004624E4" w:rsidRPr="00CE1695" w:rsidRDefault="000A0961" w:rsidP="004624E4">
      <w:pPr>
        <w:jc w:val="center"/>
        <w:rPr>
          <w:rFonts w:cs="Arial"/>
          <w:b/>
          <w:bCs/>
          <w:sz w:val="22"/>
          <w:szCs w:val="22"/>
        </w:rPr>
      </w:pPr>
      <w:r w:rsidRPr="00CE1695">
        <w:rPr>
          <w:rFonts w:cs="Arial"/>
          <w:b/>
          <w:bCs/>
          <w:sz w:val="22"/>
          <w:szCs w:val="22"/>
        </w:rPr>
        <w:t xml:space="preserve">Pharmacy </w:t>
      </w:r>
      <w:r w:rsidR="004624E4" w:rsidRPr="00CE1695">
        <w:rPr>
          <w:rFonts w:cs="Arial"/>
          <w:b/>
          <w:bCs/>
          <w:sz w:val="22"/>
          <w:szCs w:val="22"/>
        </w:rPr>
        <w:t>Take</w:t>
      </w:r>
      <w:r w:rsidR="009E6420" w:rsidRPr="00CE1695">
        <w:rPr>
          <w:rFonts w:cs="Arial"/>
          <w:b/>
          <w:bCs/>
          <w:sz w:val="22"/>
          <w:szCs w:val="22"/>
        </w:rPr>
        <w:t>-</w:t>
      </w:r>
      <w:r w:rsidR="004624E4" w:rsidRPr="00CE1695">
        <w:rPr>
          <w:rFonts w:cs="Arial"/>
          <w:b/>
          <w:bCs/>
          <w:sz w:val="22"/>
          <w:szCs w:val="22"/>
        </w:rPr>
        <w:t xml:space="preserve">Home Naloxone </w:t>
      </w:r>
      <w:r w:rsidRPr="00CE1695">
        <w:rPr>
          <w:rFonts w:cs="Arial"/>
          <w:b/>
          <w:bCs/>
          <w:sz w:val="22"/>
          <w:szCs w:val="22"/>
        </w:rPr>
        <w:t xml:space="preserve">(THN) </w:t>
      </w:r>
      <w:r w:rsidR="004624E4" w:rsidRPr="00CE1695">
        <w:rPr>
          <w:rFonts w:cs="Arial"/>
          <w:b/>
          <w:bCs/>
          <w:sz w:val="22"/>
          <w:szCs w:val="22"/>
        </w:rPr>
        <w:t xml:space="preserve">Programme  </w:t>
      </w:r>
    </w:p>
    <w:p w14:paraId="4A906C42" w14:textId="4A764DB3" w:rsidR="004624E4" w:rsidRPr="00CE1695" w:rsidRDefault="004624E4" w:rsidP="004624E4">
      <w:pPr>
        <w:jc w:val="center"/>
        <w:rPr>
          <w:rFonts w:cs="Arial"/>
          <w:b/>
          <w:bCs/>
          <w:sz w:val="22"/>
          <w:szCs w:val="22"/>
        </w:rPr>
      </w:pPr>
      <w:r w:rsidRPr="00CE1695">
        <w:rPr>
          <w:rFonts w:cs="Arial"/>
          <w:b/>
          <w:bCs/>
          <w:sz w:val="22"/>
          <w:szCs w:val="22"/>
        </w:rPr>
        <w:t>S</w:t>
      </w:r>
      <w:r w:rsidR="00CE1695">
        <w:rPr>
          <w:rFonts w:cs="Arial"/>
          <w:b/>
          <w:bCs/>
          <w:sz w:val="22"/>
          <w:szCs w:val="22"/>
        </w:rPr>
        <w:t>ample S</w:t>
      </w:r>
      <w:r w:rsidRPr="00CE1695">
        <w:rPr>
          <w:rFonts w:cs="Arial"/>
          <w:b/>
          <w:bCs/>
          <w:sz w:val="22"/>
          <w:szCs w:val="22"/>
        </w:rPr>
        <w:t>tandard Operating Procedure (SOP)</w:t>
      </w:r>
    </w:p>
    <w:p w14:paraId="4BF8C024" w14:textId="77777777" w:rsidR="00473C34" w:rsidRPr="00CE1695" w:rsidRDefault="00473C34" w:rsidP="00473C34">
      <w:pPr>
        <w:jc w:val="center"/>
        <w:rPr>
          <w:rFonts w:cs="Arial"/>
          <w:b/>
          <w:bCs/>
          <w:sz w:val="22"/>
          <w:szCs w:val="22"/>
        </w:rPr>
      </w:pPr>
    </w:p>
    <w:p w14:paraId="219603DC" w14:textId="1FBAC583" w:rsidR="004624E4" w:rsidRPr="00CE1695" w:rsidRDefault="00473C34" w:rsidP="00473C34">
      <w:pPr>
        <w:jc w:val="center"/>
        <w:rPr>
          <w:rFonts w:cs="Arial"/>
          <w:i/>
          <w:iCs/>
          <w:sz w:val="22"/>
          <w:szCs w:val="22"/>
        </w:rPr>
      </w:pPr>
      <w:r w:rsidRPr="00CE1695">
        <w:rPr>
          <w:rFonts w:cs="Arial"/>
          <w:b/>
          <w:bCs/>
          <w:sz w:val="22"/>
          <w:szCs w:val="22"/>
        </w:rPr>
        <w:t xml:space="preserve">This SOP </w:t>
      </w:r>
      <w:r w:rsidR="009E6420" w:rsidRPr="00CE1695">
        <w:rPr>
          <w:rFonts w:cs="Arial"/>
          <w:b/>
          <w:bCs/>
          <w:sz w:val="22"/>
          <w:szCs w:val="22"/>
        </w:rPr>
        <w:t>is for ILLUSTRATION PURPOSES ONLY and will need to be re-drafted</w:t>
      </w:r>
      <w:r w:rsidR="00221063" w:rsidRPr="00CE1695">
        <w:rPr>
          <w:rFonts w:cs="Arial"/>
          <w:b/>
          <w:bCs/>
          <w:sz w:val="22"/>
          <w:szCs w:val="22"/>
        </w:rPr>
        <w:t>/adapted for use</w:t>
      </w:r>
      <w:r w:rsidR="009E6420" w:rsidRPr="00CE1695">
        <w:rPr>
          <w:rFonts w:cs="Arial"/>
          <w:b/>
          <w:bCs/>
          <w:sz w:val="22"/>
          <w:szCs w:val="22"/>
        </w:rPr>
        <w:t xml:space="preserve"> for each individual participating pharmacy.</w:t>
      </w:r>
    </w:p>
    <w:p w14:paraId="65FBA9AA" w14:textId="77777777" w:rsidR="009E6420" w:rsidRPr="00CE1695" w:rsidRDefault="009E6420" w:rsidP="004624E4">
      <w:pPr>
        <w:rPr>
          <w:rFonts w:cs="Arial"/>
          <w:b/>
          <w:iCs/>
          <w:color w:val="FF0000"/>
          <w:sz w:val="22"/>
          <w:szCs w:val="22"/>
        </w:rPr>
      </w:pPr>
    </w:p>
    <w:p w14:paraId="5B3EBCF4" w14:textId="28704FDA" w:rsidR="004624E4" w:rsidRPr="00CE1695" w:rsidRDefault="004624E4" w:rsidP="00CE1695">
      <w:pPr>
        <w:jc w:val="left"/>
        <w:rPr>
          <w:rFonts w:cs="Arial"/>
          <w:b/>
          <w:sz w:val="22"/>
          <w:szCs w:val="22"/>
          <w:lang w:eastAsia="en-GB"/>
        </w:rPr>
      </w:pPr>
      <w:r w:rsidRPr="00CE1695">
        <w:rPr>
          <w:rFonts w:cs="Arial"/>
          <w:b/>
          <w:sz w:val="22"/>
          <w:szCs w:val="22"/>
          <w:lang w:eastAsia="en-GB"/>
        </w:rPr>
        <w:t>S</w:t>
      </w:r>
      <w:r w:rsidR="009E6420" w:rsidRPr="00CE1695">
        <w:rPr>
          <w:rFonts w:cs="Arial"/>
          <w:b/>
          <w:sz w:val="22"/>
          <w:szCs w:val="22"/>
          <w:lang w:eastAsia="en-GB"/>
        </w:rPr>
        <w:t xml:space="preserve">TANDARD </w:t>
      </w:r>
      <w:r w:rsidRPr="00CE1695">
        <w:rPr>
          <w:rFonts w:cs="Arial"/>
          <w:b/>
          <w:sz w:val="22"/>
          <w:szCs w:val="22"/>
          <w:lang w:eastAsia="en-GB"/>
        </w:rPr>
        <w:t>OP</w:t>
      </w:r>
      <w:r w:rsidR="009E6420" w:rsidRPr="00CE1695">
        <w:rPr>
          <w:rFonts w:cs="Arial"/>
          <w:b/>
          <w:sz w:val="22"/>
          <w:szCs w:val="22"/>
          <w:lang w:eastAsia="en-GB"/>
        </w:rPr>
        <w:t>ERATING PROCEDURE</w:t>
      </w:r>
      <w:r w:rsidRPr="00CE1695">
        <w:rPr>
          <w:rFonts w:cs="Arial"/>
          <w:b/>
          <w:sz w:val="22"/>
          <w:szCs w:val="22"/>
          <w:lang w:eastAsia="en-GB"/>
        </w:rPr>
        <w:t>: TAKE</w:t>
      </w:r>
      <w:r w:rsidR="009E6420" w:rsidRPr="00CE1695">
        <w:rPr>
          <w:rFonts w:cs="Arial"/>
          <w:b/>
          <w:sz w:val="22"/>
          <w:szCs w:val="22"/>
          <w:lang w:eastAsia="en-GB"/>
        </w:rPr>
        <w:t>-</w:t>
      </w:r>
      <w:r w:rsidRPr="00CE1695">
        <w:rPr>
          <w:rFonts w:cs="Arial"/>
          <w:b/>
          <w:sz w:val="22"/>
          <w:szCs w:val="22"/>
          <w:lang w:eastAsia="en-GB"/>
        </w:rPr>
        <w:t xml:space="preserve">HOME NALOXONE PROGRAMME </w:t>
      </w:r>
    </w:p>
    <w:p w14:paraId="016E81C7" w14:textId="77777777" w:rsidR="004624E4" w:rsidRPr="00CE1695" w:rsidRDefault="004624E4" w:rsidP="004624E4">
      <w:pPr>
        <w:rPr>
          <w:rFonts w:cs="Arial"/>
          <w:color w:val="FF0000"/>
          <w:sz w:val="22"/>
          <w:szCs w:val="22"/>
          <w:lang w:eastAsia="en-GB"/>
        </w:rPr>
      </w:pPr>
    </w:p>
    <w:p w14:paraId="1E2A4816" w14:textId="77777777" w:rsidR="00CA796F" w:rsidRPr="00CE1695" w:rsidRDefault="00CA796F" w:rsidP="00CA796F">
      <w:pPr>
        <w:rPr>
          <w:rFonts w:cs="Arial"/>
          <w:sz w:val="22"/>
          <w:szCs w:val="22"/>
          <w:lang w:eastAsia="en-GB"/>
        </w:rPr>
      </w:pPr>
      <w:bookmarkStart w:id="5" w:name="_Hlk163463231"/>
      <w:r w:rsidRPr="00CE1695">
        <w:rPr>
          <w:rFonts w:cs="Arial"/>
          <w:b/>
          <w:sz w:val="22"/>
          <w:szCs w:val="22"/>
          <w:lang w:eastAsia="en-GB"/>
        </w:rPr>
        <w:t>PURPOSE</w:t>
      </w:r>
    </w:p>
    <w:p w14:paraId="571C4523" w14:textId="77777777"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To reduce the number of opioid overdose deaths in people who use drugs, through the efficient and wider distribution of naloxone in the community.</w:t>
      </w:r>
    </w:p>
    <w:p w14:paraId="7295450D" w14:textId="77777777"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To increase overdose awareness knowledge, through informing people about harm reduction and the benefits of naloxone</w:t>
      </w:r>
    </w:p>
    <w:p w14:paraId="6386EECB" w14:textId="77777777"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To offer a user-friendly, non-judgemental, person-centred, and confidential service to people who use substances.</w:t>
      </w:r>
    </w:p>
    <w:p w14:paraId="4A83D150" w14:textId="19D28632"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 xml:space="preserve">To provide </w:t>
      </w:r>
      <w:r w:rsidR="00E36084">
        <w:rPr>
          <w:rFonts w:cs="Arial"/>
          <w:sz w:val="22"/>
          <w:szCs w:val="22"/>
          <w:lang w:eastAsia="en-GB"/>
        </w:rPr>
        <w:t>support and advice to people who use the service</w:t>
      </w:r>
      <w:r w:rsidRPr="00CE1695">
        <w:rPr>
          <w:rFonts w:cs="Arial"/>
          <w:sz w:val="22"/>
          <w:szCs w:val="22"/>
          <w:lang w:eastAsia="en-GB"/>
        </w:rPr>
        <w:t xml:space="preserve">, </w:t>
      </w:r>
      <w:r w:rsidR="00E36084" w:rsidRPr="00CE1695">
        <w:rPr>
          <w:rFonts w:cs="Arial"/>
          <w:bCs/>
          <w:color w:val="000000" w:themeColor="text1"/>
          <w:sz w:val="22"/>
          <w:szCs w:val="22"/>
        </w:rPr>
        <w:t>including referral to drug treatment</w:t>
      </w:r>
      <w:r w:rsidR="00E36084">
        <w:rPr>
          <w:rFonts w:cs="Arial"/>
          <w:bCs/>
          <w:color w:val="000000" w:themeColor="text1"/>
          <w:sz w:val="22"/>
          <w:szCs w:val="22"/>
        </w:rPr>
        <w:t xml:space="preserve"> and/or </w:t>
      </w:r>
      <w:r w:rsidR="00E36084" w:rsidRPr="00CE1695">
        <w:rPr>
          <w:rFonts w:cs="Arial"/>
          <w:bCs/>
          <w:color w:val="000000" w:themeColor="text1"/>
          <w:sz w:val="22"/>
          <w:szCs w:val="22"/>
        </w:rPr>
        <w:t xml:space="preserve">other </w:t>
      </w:r>
      <w:r w:rsidR="00E36084">
        <w:rPr>
          <w:rFonts w:cs="Arial"/>
          <w:bCs/>
          <w:color w:val="000000" w:themeColor="text1"/>
          <w:sz w:val="22"/>
          <w:szCs w:val="22"/>
        </w:rPr>
        <w:t>P</w:t>
      </w:r>
      <w:r w:rsidR="00E36084" w:rsidRPr="00CE1695">
        <w:rPr>
          <w:rFonts w:cs="Arial"/>
          <w:bCs/>
          <w:color w:val="000000" w:themeColor="text1"/>
          <w:sz w:val="22"/>
          <w:szCs w:val="22"/>
        </w:rPr>
        <w:t xml:space="preserve">ublic </w:t>
      </w:r>
      <w:r w:rsidR="00E36084">
        <w:rPr>
          <w:rFonts w:cs="Arial"/>
          <w:bCs/>
          <w:color w:val="000000" w:themeColor="text1"/>
          <w:sz w:val="22"/>
          <w:szCs w:val="22"/>
        </w:rPr>
        <w:t>H</w:t>
      </w:r>
      <w:r w:rsidR="00E36084" w:rsidRPr="00CE1695">
        <w:rPr>
          <w:rFonts w:cs="Arial"/>
          <w:bCs/>
          <w:color w:val="000000" w:themeColor="text1"/>
          <w:sz w:val="22"/>
          <w:szCs w:val="22"/>
        </w:rPr>
        <w:t xml:space="preserve">ealth </w:t>
      </w:r>
      <w:r w:rsidRPr="00CE1695">
        <w:rPr>
          <w:rFonts w:cs="Arial"/>
          <w:sz w:val="22"/>
          <w:szCs w:val="22"/>
          <w:lang w:eastAsia="en-GB"/>
        </w:rPr>
        <w:t>services</w:t>
      </w:r>
      <w:r w:rsidR="00E36084">
        <w:rPr>
          <w:rFonts w:cs="Arial"/>
          <w:sz w:val="22"/>
          <w:szCs w:val="22"/>
          <w:lang w:eastAsia="en-GB"/>
        </w:rPr>
        <w:t>, as appropriate</w:t>
      </w:r>
      <w:r w:rsidRPr="00CE1695">
        <w:rPr>
          <w:rFonts w:cs="Arial"/>
          <w:sz w:val="22"/>
          <w:szCs w:val="22"/>
          <w:lang w:eastAsia="en-GB"/>
        </w:rPr>
        <w:t>.</w:t>
      </w:r>
    </w:p>
    <w:p w14:paraId="3E01D5A9" w14:textId="77777777" w:rsidR="00CA796F" w:rsidRPr="00CE1695" w:rsidRDefault="00CA796F" w:rsidP="00CA796F">
      <w:pPr>
        <w:rPr>
          <w:rFonts w:cs="Arial"/>
          <w:color w:val="FF0000"/>
          <w:sz w:val="22"/>
          <w:szCs w:val="22"/>
          <w:lang w:eastAsia="en-GB"/>
        </w:rPr>
      </w:pPr>
    </w:p>
    <w:p w14:paraId="676E87F0" w14:textId="77777777" w:rsidR="00CA796F" w:rsidRPr="00CE1695" w:rsidRDefault="00CA796F" w:rsidP="00CA796F">
      <w:pPr>
        <w:rPr>
          <w:rFonts w:cs="Arial"/>
          <w:sz w:val="22"/>
          <w:szCs w:val="22"/>
          <w:lang w:eastAsia="en-GB"/>
        </w:rPr>
      </w:pPr>
      <w:r w:rsidRPr="00CE1695">
        <w:rPr>
          <w:rFonts w:cs="Arial"/>
          <w:b/>
          <w:sz w:val="22"/>
          <w:szCs w:val="22"/>
          <w:lang w:eastAsia="en-GB"/>
        </w:rPr>
        <w:t>SCOPE</w:t>
      </w:r>
    </w:p>
    <w:p w14:paraId="1661F056" w14:textId="77777777" w:rsidR="00CA796F" w:rsidRPr="00CE1695" w:rsidRDefault="00CA796F" w:rsidP="00CA796F">
      <w:pPr>
        <w:rPr>
          <w:rFonts w:cs="Arial"/>
          <w:sz w:val="22"/>
          <w:szCs w:val="22"/>
          <w:lang w:eastAsia="en-GB"/>
        </w:rPr>
      </w:pPr>
      <w:r w:rsidRPr="00CE1695">
        <w:rPr>
          <w:rFonts w:cs="Arial"/>
          <w:sz w:val="22"/>
          <w:szCs w:val="22"/>
          <w:lang w:eastAsia="en-GB"/>
        </w:rPr>
        <w:t>This service is for any person who currently uses or has a history of using opioids, or who may witness an opioid overdose.</w:t>
      </w:r>
    </w:p>
    <w:p w14:paraId="464DC72B" w14:textId="77777777" w:rsidR="00CA796F" w:rsidRPr="00CE1695" w:rsidRDefault="00CA796F" w:rsidP="00CA796F">
      <w:pPr>
        <w:rPr>
          <w:rFonts w:cs="Arial"/>
          <w:color w:val="FF0000"/>
          <w:sz w:val="22"/>
          <w:szCs w:val="22"/>
          <w:lang w:eastAsia="en-GB"/>
        </w:rPr>
      </w:pPr>
    </w:p>
    <w:p w14:paraId="30DE91BE" w14:textId="77777777" w:rsidR="00CA796F" w:rsidRPr="00CE1695" w:rsidRDefault="00CA796F" w:rsidP="00CA796F">
      <w:pPr>
        <w:rPr>
          <w:rFonts w:cs="Arial"/>
          <w:sz w:val="22"/>
          <w:szCs w:val="22"/>
          <w:lang w:eastAsia="en-GB"/>
        </w:rPr>
      </w:pPr>
      <w:r w:rsidRPr="00CE1695">
        <w:rPr>
          <w:rFonts w:cs="Arial"/>
          <w:sz w:val="22"/>
          <w:szCs w:val="22"/>
          <w:lang w:eastAsia="en-GB"/>
        </w:rPr>
        <w:t xml:space="preserve">This SOP should be read alongside the locally commissioned service specification. </w:t>
      </w:r>
    </w:p>
    <w:p w14:paraId="6589E6AF" w14:textId="77777777" w:rsidR="00CA796F" w:rsidRPr="00CE1695" w:rsidRDefault="00CA796F" w:rsidP="00CA796F">
      <w:pPr>
        <w:rPr>
          <w:rFonts w:cs="Arial"/>
          <w:sz w:val="22"/>
          <w:szCs w:val="22"/>
          <w:lang w:eastAsia="en-GB"/>
        </w:rPr>
      </w:pPr>
    </w:p>
    <w:p w14:paraId="7663BE68" w14:textId="3E990539" w:rsidR="00CA796F" w:rsidRPr="00CE1695" w:rsidRDefault="00CA796F" w:rsidP="00CA796F">
      <w:pPr>
        <w:rPr>
          <w:rFonts w:cs="Arial"/>
          <w:sz w:val="22"/>
          <w:szCs w:val="22"/>
          <w:lang w:eastAsia="en-GB"/>
        </w:rPr>
      </w:pPr>
      <w:r w:rsidRPr="00CE1695">
        <w:rPr>
          <w:rFonts w:cs="Arial"/>
          <w:sz w:val="22"/>
          <w:szCs w:val="22"/>
          <w:lang w:eastAsia="en-GB"/>
        </w:rPr>
        <w:t>This service is not a pharmacist-only service; any pharmacy staff who has been appropriately trained may supply naloxone. All pharmacy staff (including locums), especially those involved in the provision of Needle Exchange service, are encouraged to engage with th</w:t>
      </w:r>
      <w:r w:rsidR="00852A36">
        <w:rPr>
          <w:rFonts w:cs="Arial"/>
          <w:sz w:val="22"/>
          <w:szCs w:val="22"/>
          <w:lang w:eastAsia="en-GB"/>
        </w:rPr>
        <w:t>is</w:t>
      </w:r>
      <w:r w:rsidRPr="00CE1695">
        <w:rPr>
          <w:rFonts w:cs="Arial"/>
          <w:sz w:val="22"/>
          <w:szCs w:val="22"/>
          <w:lang w:eastAsia="en-GB"/>
        </w:rPr>
        <w:t xml:space="preserve"> service.</w:t>
      </w:r>
    </w:p>
    <w:p w14:paraId="6B8C9F21" w14:textId="77777777" w:rsidR="00CA796F" w:rsidRPr="00CE1695" w:rsidRDefault="00CA796F" w:rsidP="00CA796F">
      <w:pPr>
        <w:rPr>
          <w:rFonts w:cs="Arial"/>
          <w:sz w:val="22"/>
          <w:szCs w:val="22"/>
          <w:lang w:eastAsia="en-GB"/>
        </w:rPr>
      </w:pPr>
    </w:p>
    <w:p w14:paraId="0CC19EDE" w14:textId="77777777" w:rsidR="00CA796F" w:rsidRPr="00CE1695" w:rsidRDefault="00CA796F" w:rsidP="00CA796F">
      <w:pPr>
        <w:rPr>
          <w:rFonts w:cs="Arial"/>
          <w:b/>
          <w:bCs/>
          <w:sz w:val="22"/>
          <w:szCs w:val="22"/>
          <w:lang w:eastAsia="en-GB"/>
        </w:rPr>
      </w:pPr>
      <w:r w:rsidRPr="00CE1695">
        <w:rPr>
          <w:rFonts w:cs="Arial"/>
          <w:b/>
          <w:bCs/>
          <w:sz w:val="22"/>
          <w:szCs w:val="22"/>
          <w:lang w:eastAsia="en-GB"/>
        </w:rPr>
        <w:t>PREPARATIONS</w:t>
      </w:r>
    </w:p>
    <w:p w14:paraId="7AF85115" w14:textId="77777777"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Ensure staff are appropriately trained to provide the service.</w:t>
      </w:r>
    </w:p>
    <w:p w14:paraId="234B99CD" w14:textId="77777777"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Ensure health risks to staff have been assessed and preventative measures taken.</w:t>
      </w:r>
    </w:p>
    <w:p w14:paraId="26581B06" w14:textId="77777777"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Ensure staff know how to avoid/ deal with potential risks (for example needle-stick injury).</w:t>
      </w:r>
    </w:p>
    <w:p w14:paraId="1D118EF2" w14:textId="77777777" w:rsidR="00CA796F" w:rsidRPr="00CE1695" w:rsidRDefault="00CA796F" w:rsidP="00CA796F">
      <w:pPr>
        <w:pStyle w:val="ListParagraph"/>
        <w:numPr>
          <w:ilvl w:val="0"/>
          <w:numId w:val="55"/>
        </w:numPr>
        <w:rPr>
          <w:rFonts w:cs="Arial"/>
          <w:sz w:val="22"/>
          <w:szCs w:val="22"/>
          <w:lang w:eastAsia="en-GB"/>
        </w:rPr>
      </w:pPr>
      <w:r w:rsidRPr="00CE1695">
        <w:rPr>
          <w:rFonts w:cs="Arial"/>
          <w:sz w:val="22"/>
          <w:szCs w:val="22"/>
          <w:lang w:eastAsia="en-GB"/>
        </w:rPr>
        <w:t>Ensure staff know what to do if a person under 18 requests a supply of naloxone.</w:t>
      </w:r>
    </w:p>
    <w:p w14:paraId="45A5A49E" w14:textId="77777777" w:rsidR="00CA796F" w:rsidRPr="00CE1695" w:rsidRDefault="00CA796F" w:rsidP="00CA796F">
      <w:pPr>
        <w:rPr>
          <w:rFonts w:cs="Arial"/>
          <w:color w:val="FF0000"/>
          <w:sz w:val="22"/>
          <w:szCs w:val="22"/>
          <w:lang w:eastAsia="en-GB"/>
        </w:rPr>
      </w:pPr>
    </w:p>
    <w:p w14:paraId="7EA91EE8" w14:textId="47A1EB3F" w:rsidR="00CA796F" w:rsidRPr="00CE1695" w:rsidRDefault="00CA796F" w:rsidP="00CA796F">
      <w:pPr>
        <w:rPr>
          <w:rFonts w:cs="Arial"/>
          <w:sz w:val="22"/>
          <w:szCs w:val="22"/>
          <w:lang w:eastAsia="en-GB"/>
        </w:rPr>
      </w:pPr>
      <w:r w:rsidRPr="00CE1695">
        <w:rPr>
          <w:rFonts w:cs="Arial"/>
          <w:b/>
          <w:sz w:val="22"/>
          <w:szCs w:val="22"/>
          <w:lang w:eastAsia="en-GB"/>
        </w:rPr>
        <w:t>PROCEDURE</w:t>
      </w:r>
      <w:r w:rsidR="00852A36">
        <w:rPr>
          <w:rFonts w:cs="Arial"/>
          <w:b/>
          <w:sz w:val="22"/>
          <w:szCs w:val="22"/>
          <w:lang w:eastAsia="en-GB"/>
        </w:rPr>
        <w:t xml:space="preserve"> &amp; PROCESS</w:t>
      </w:r>
    </w:p>
    <w:p w14:paraId="40B43D7C" w14:textId="4568FC2A" w:rsidR="00CA796F" w:rsidRPr="00CE1695" w:rsidRDefault="00CA796F" w:rsidP="00CA796F">
      <w:pPr>
        <w:rPr>
          <w:rFonts w:cs="Arial"/>
          <w:sz w:val="22"/>
          <w:szCs w:val="22"/>
          <w:lang w:eastAsia="en-GB"/>
        </w:rPr>
      </w:pPr>
      <w:r w:rsidRPr="00CE1695">
        <w:rPr>
          <w:rFonts w:cs="Arial"/>
          <w:sz w:val="22"/>
          <w:szCs w:val="22"/>
          <w:lang w:eastAsia="en-GB"/>
        </w:rPr>
        <w:t xml:space="preserve">People who access this service must be afforded the courtesy that any client or customer might expect. All transactions ideally should take place discretely in the consultation room or other private area. </w:t>
      </w:r>
    </w:p>
    <w:p w14:paraId="5DA7A599" w14:textId="77777777" w:rsidR="00CA796F" w:rsidRPr="00CE1695" w:rsidRDefault="00CA796F" w:rsidP="00CA796F">
      <w:pPr>
        <w:autoSpaceDE w:val="0"/>
        <w:autoSpaceDN w:val="0"/>
        <w:spacing w:before="40" w:after="40"/>
        <w:rPr>
          <w:rFonts w:cs="Arial"/>
          <w:bCs/>
          <w:iCs/>
          <w:sz w:val="22"/>
          <w:szCs w:val="22"/>
        </w:rPr>
      </w:pPr>
      <w:r w:rsidRPr="00CE1695">
        <w:rPr>
          <w:rFonts w:cs="Arial"/>
          <w:bCs/>
          <w:iCs/>
          <w:sz w:val="22"/>
          <w:szCs w:val="22"/>
        </w:rPr>
        <w:t>Naloxone for use in the community currently comes in two forms: a pre-filled syringe and a nasal spray. There are currently three Take-Home Naloxone (THN) products available for this service:</w:t>
      </w:r>
    </w:p>
    <w:p w14:paraId="0388B979" w14:textId="77777777" w:rsidR="00CA796F" w:rsidRPr="00CE1695" w:rsidRDefault="00CA796F" w:rsidP="00CA796F">
      <w:pPr>
        <w:pStyle w:val="ListParagraph"/>
        <w:numPr>
          <w:ilvl w:val="0"/>
          <w:numId w:val="14"/>
        </w:numPr>
        <w:autoSpaceDE w:val="0"/>
        <w:autoSpaceDN w:val="0"/>
        <w:spacing w:before="40" w:after="40"/>
        <w:rPr>
          <w:rFonts w:cs="Arial"/>
          <w:bCs/>
          <w:iCs/>
          <w:sz w:val="22"/>
          <w:szCs w:val="22"/>
        </w:rPr>
      </w:pPr>
      <w:proofErr w:type="spellStart"/>
      <w:r w:rsidRPr="00CE1695">
        <w:rPr>
          <w:rFonts w:cs="Arial"/>
          <w:bCs/>
          <w:iCs/>
          <w:sz w:val="22"/>
          <w:szCs w:val="22"/>
        </w:rPr>
        <w:t>Nyxoid</w:t>
      </w:r>
      <w:proofErr w:type="spellEnd"/>
      <w:r w:rsidRPr="00CE1695">
        <w:rPr>
          <w:rFonts w:cs="Arial"/>
          <w:bCs/>
          <w:iCs/>
          <w:sz w:val="22"/>
          <w:szCs w:val="22"/>
        </w:rPr>
        <w:t>® nasal spray,</w:t>
      </w:r>
    </w:p>
    <w:p w14:paraId="2F401719" w14:textId="77777777" w:rsidR="00CA796F" w:rsidRPr="00CE1695" w:rsidRDefault="00CA796F" w:rsidP="00CA796F">
      <w:pPr>
        <w:pStyle w:val="ListParagraph"/>
        <w:numPr>
          <w:ilvl w:val="0"/>
          <w:numId w:val="14"/>
        </w:numPr>
        <w:autoSpaceDE w:val="0"/>
        <w:autoSpaceDN w:val="0"/>
        <w:spacing w:before="40" w:after="40"/>
        <w:rPr>
          <w:rFonts w:cs="Arial"/>
          <w:bCs/>
          <w:iCs/>
          <w:sz w:val="22"/>
          <w:szCs w:val="22"/>
        </w:rPr>
      </w:pPr>
      <w:r w:rsidRPr="00CE1695">
        <w:rPr>
          <w:rFonts w:cs="Arial"/>
          <w:bCs/>
          <w:iCs/>
          <w:sz w:val="22"/>
          <w:szCs w:val="22"/>
        </w:rPr>
        <w:t>Naloxone 1.26mg nasal spray (Pebble),</w:t>
      </w:r>
    </w:p>
    <w:p w14:paraId="48C2E024" w14:textId="77777777" w:rsidR="00CA796F" w:rsidRPr="00CE1695" w:rsidRDefault="00CA796F" w:rsidP="00CA796F">
      <w:pPr>
        <w:pStyle w:val="ListParagraph"/>
        <w:numPr>
          <w:ilvl w:val="0"/>
          <w:numId w:val="14"/>
        </w:numPr>
        <w:autoSpaceDE w:val="0"/>
        <w:autoSpaceDN w:val="0"/>
        <w:spacing w:before="40" w:after="40"/>
        <w:rPr>
          <w:rFonts w:cs="Arial"/>
          <w:bCs/>
          <w:iCs/>
          <w:sz w:val="22"/>
          <w:szCs w:val="22"/>
        </w:rPr>
      </w:pPr>
      <w:proofErr w:type="spellStart"/>
      <w:r w:rsidRPr="00CE1695">
        <w:rPr>
          <w:rFonts w:cs="Arial"/>
          <w:bCs/>
          <w:iCs/>
          <w:sz w:val="22"/>
          <w:szCs w:val="22"/>
        </w:rPr>
        <w:t>Prenoxad</w:t>
      </w:r>
      <w:proofErr w:type="spellEnd"/>
      <w:r w:rsidRPr="00CE1695">
        <w:rPr>
          <w:rFonts w:cs="Arial"/>
          <w:bCs/>
          <w:iCs/>
          <w:sz w:val="22"/>
          <w:szCs w:val="22"/>
        </w:rPr>
        <w:t>® solution for injection.</w:t>
      </w:r>
    </w:p>
    <w:p w14:paraId="771D988C" w14:textId="048FF503" w:rsidR="00CA796F" w:rsidRPr="00CE1695" w:rsidRDefault="00CA796F" w:rsidP="00CA796F">
      <w:pPr>
        <w:rPr>
          <w:rFonts w:cs="Arial"/>
          <w:sz w:val="22"/>
          <w:szCs w:val="22"/>
          <w:lang w:eastAsia="en-GB"/>
        </w:rPr>
      </w:pPr>
      <w:r w:rsidRPr="00CE1695">
        <w:rPr>
          <w:rFonts w:cs="Arial"/>
          <w:sz w:val="22"/>
          <w:szCs w:val="22"/>
          <w:lang w:eastAsia="en-GB"/>
        </w:rPr>
        <w:t>Th</w:t>
      </w:r>
      <w:r w:rsidR="002F63AA">
        <w:rPr>
          <w:rFonts w:cs="Arial"/>
          <w:sz w:val="22"/>
          <w:szCs w:val="22"/>
          <w:lang w:eastAsia="en-GB"/>
        </w:rPr>
        <w:t>e</w:t>
      </w:r>
      <w:r w:rsidRPr="00CE1695">
        <w:rPr>
          <w:rFonts w:cs="Arial"/>
          <w:sz w:val="22"/>
          <w:szCs w:val="22"/>
          <w:lang w:eastAsia="en-GB"/>
        </w:rPr>
        <w:t xml:space="preserve"> </w:t>
      </w:r>
      <w:r w:rsidR="00A42642">
        <w:rPr>
          <w:rFonts w:cs="Arial"/>
          <w:sz w:val="22"/>
          <w:szCs w:val="22"/>
          <w:lang w:eastAsia="en-GB"/>
        </w:rPr>
        <w:t xml:space="preserve">pharmacy </w:t>
      </w:r>
      <w:r w:rsidR="00A42642">
        <w:rPr>
          <w:sz w:val="22"/>
          <w:szCs w:val="22"/>
        </w:rPr>
        <w:t xml:space="preserve">shall hold and </w:t>
      </w:r>
      <w:r w:rsidR="00A42642" w:rsidRPr="00CE1695">
        <w:rPr>
          <w:rFonts w:cs="Arial"/>
          <w:bCs/>
          <w:iCs/>
          <w:sz w:val="22"/>
          <w:szCs w:val="22"/>
        </w:rPr>
        <w:t xml:space="preserve">offer </w:t>
      </w:r>
      <w:r w:rsidR="00A42642">
        <w:rPr>
          <w:rFonts w:cs="Arial"/>
          <w:bCs/>
          <w:iCs/>
          <w:sz w:val="22"/>
          <w:szCs w:val="22"/>
        </w:rPr>
        <w:t xml:space="preserve">the </w:t>
      </w:r>
      <w:r w:rsidR="00A42642" w:rsidRPr="00CE1695">
        <w:rPr>
          <w:rFonts w:cs="Arial"/>
          <w:bCs/>
          <w:iCs/>
          <w:sz w:val="22"/>
          <w:szCs w:val="22"/>
        </w:rPr>
        <w:t>nasal spray formulation (i.e., ‘</w:t>
      </w:r>
      <w:proofErr w:type="spellStart"/>
      <w:r w:rsidR="00A42642" w:rsidRPr="00CE1695">
        <w:rPr>
          <w:rFonts w:cs="Arial"/>
          <w:bCs/>
          <w:iCs/>
          <w:sz w:val="22"/>
          <w:szCs w:val="22"/>
        </w:rPr>
        <w:t>Nyxoid</w:t>
      </w:r>
      <w:proofErr w:type="spellEnd"/>
      <w:r w:rsidR="00A42642" w:rsidRPr="00CE1695">
        <w:rPr>
          <w:rFonts w:cs="Arial"/>
          <w:bCs/>
          <w:iCs/>
          <w:sz w:val="22"/>
          <w:szCs w:val="22"/>
        </w:rPr>
        <w:t>’ or ‘Pebble’) as first-line supply,</w:t>
      </w:r>
      <w:r w:rsidR="00A42642" w:rsidRPr="00CE1695">
        <w:rPr>
          <w:sz w:val="22"/>
          <w:szCs w:val="22"/>
        </w:rPr>
        <w:t xml:space="preserve"> subject to stock/budget availability, however, </w:t>
      </w:r>
      <w:r w:rsidR="00A42642">
        <w:rPr>
          <w:sz w:val="22"/>
          <w:szCs w:val="22"/>
        </w:rPr>
        <w:t>Service Users</w:t>
      </w:r>
      <w:r w:rsidR="00A42642" w:rsidRPr="00CE1695">
        <w:rPr>
          <w:sz w:val="22"/>
          <w:szCs w:val="22"/>
        </w:rPr>
        <w:t xml:space="preserve"> can request </w:t>
      </w:r>
      <w:proofErr w:type="spellStart"/>
      <w:r w:rsidR="00A42642" w:rsidRPr="00CE1695">
        <w:rPr>
          <w:sz w:val="22"/>
          <w:szCs w:val="22"/>
        </w:rPr>
        <w:t>Prenoxad</w:t>
      </w:r>
      <w:proofErr w:type="spellEnd"/>
      <w:r w:rsidR="00A42642" w:rsidRPr="00CE1695">
        <w:rPr>
          <w:sz w:val="22"/>
          <w:szCs w:val="22"/>
        </w:rPr>
        <w:t xml:space="preserve"> if it is the preferred formulation for their usage</w:t>
      </w:r>
      <w:r w:rsidR="007D665F">
        <w:rPr>
          <w:sz w:val="22"/>
          <w:szCs w:val="22"/>
        </w:rPr>
        <w:t>.</w:t>
      </w:r>
    </w:p>
    <w:p w14:paraId="45721A09" w14:textId="77777777" w:rsidR="00CA796F" w:rsidRPr="00CE1695" w:rsidRDefault="00CA796F" w:rsidP="00CA796F">
      <w:pPr>
        <w:rPr>
          <w:rFonts w:cs="Arial"/>
          <w:sz w:val="22"/>
          <w:szCs w:val="22"/>
          <w:lang w:eastAsia="en-GB"/>
        </w:rPr>
      </w:pPr>
    </w:p>
    <w:p w14:paraId="455DA9C1" w14:textId="77777777" w:rsidR="00CA796F" w:rsidRPr="000C1DAB" w:rsidRDefault="00CA796F" w:rsidP="00CA796F">
      <w:pPr>
        <w:rPr>
          <w:rFonts w:cs="Arial"/>
          <w:b/>
          <w:bCs/>
          <w:sz w:val="22"/>
          <w:szCs w:val="22"/>
          <w:u w:val="single"/>
          <w:lang w:eastAsia="en-GB"/>
        </w:rPr>
      </w:pPr>
      <w:r w:rsidRPr="000C1DAB">
        <w:rPr>
          <w:rFonts w:cs="Arial"/>
          <w:b/>
          <w:bCs/>
          <w:sz w:val="22"/>
          <w:szCs w:val="22"/>
          <w:u w:val="single"/>
          <w:lang w:eastAsia="en-GB"/>
        </w:rPr>
        <w:t>Stock availability &amp; Storage:</w:t>
      </w:r>
    </w:p>
    <w:p w14:paraId="35462CD4" w14:textId="50927219" w:rsidR="00CA796F" w:rsidRPr="00CE1695" w:rsidRDefault="00CA796F" w:rsidP="00CA796F">
      <w:pPr>
        <w:rPr>
          <w:rFonts w:cs="Arial"/>
          <w:sz w:val="22"/>
          <w:szCs w:val="22"/>
          <w:lang w:eastAsia="en-GB"/>
        </w:rPr>
      </w:pPr>
      <w:r w:rsidRPr="00CE1695">
        <w:rPr>
          <w:rFonts w:cs="Arial"/>
          <w:sz w:val="22"/>
          <w:szCs w:val="22"/>
          <w:lang w:eastAsia="en-GB"/>
        </w:rPr>
        <w:t xml:space="preserve">THN kits can be ordered from the locally commissioned supplier, currently Orion Medical Supplies Ltd. – </w:t>
      </w:r>
      <w:hyperlink r:id="rId19" w:history="1">
        <w:r w:rsidRPr="00CE1695">
          <w:rPr>
            <w:rStyle w:val="Hyperlink"/>
            <w:rFonts w:cs="Arial"/>
            <w:sz w:val="22"/>
            <w:szCs w:val="22"/>
            <w:lang w:eastAsia="en-GB"/>
          </w:rPr>
          <w:t>https://orionmedical.co.uk/</w:t>
        </w:r>
      </w:hyperlink>
      <w:r w:rsidRPr="00CE1695">
        <w:rPr>
          <w:rFonts w:cs="Arial"/>
          <w:sz w:val="22"/>
          <w:szCs w:val="22"/>
          <w:lang w:eastAsia="en-GB"/>
        </w:rPr>
        <w:t xml:space="preserve">; </w:t>
      </w:r>
      <w:r w:rsidRPr="00CE1695">
        <w:rPr>
          <w:sz w:val="22"/>
          <w:szCs w:val="22"/>
        </w:rPr>
        <w:t>01869244423</w:t>
      </w:r>
      <w:r w:rsidRPr="00CE1695">
        <w:rPr>
          <w:rFonts w:cs="Arial"/>
          <w:sz w:val="22"/>
          <w:szCs w:val="22"/>
          <w:lang w:eastAsia="en-GB"/>
        </w:rPr>
        <w:t xml:space="preserve">. The pharmacy </w:t>
      </w:r>
      <w:r w:rsidR="00A42642">
        <w:rPr>
          <w:rFonts w:cs="Arial"/>
          <w:bCs/>
          <w:iCs/>
          <w:sz w:val="22"/>
          <w:szCs w:val="22"/>
        </w:rPr>
        <w:t xml:space="preserve">should </w:t>
      </w:r>
      <w:r w:rsidR="00212C6B">
        <w:rPr>
          <w:rFonts w:cs="Arial"/>
          <w:bCs/>
          <w:iCs/>
          <w:sz w:val="22"/>
          <w:szCs w:val="22"/>
        </w:rPr>
        <w:t>hold a reasonable stock of THN kits</w:t>
      </w:r>
      <w:r w:rsidR="00A42642" w:rsidRPr="00CE1695">
        <w:rPr>
          <w:rFonts w:cs="Arial"/>
          <w:bCs/>
          <w:iCs/>
          <w:sz w:val="22"/>
          <w:szCs w:val="22"/>
        </w:rPr>
        <w:t xml:space="preserve"> at any one time,</w:t>
      </w:r>
      <w:r w:rsidR="00A42642">
        <w:rPr>
          <w:rFonts w:cs="Arial"/>
          <w:bCs/>
          <w:iCs/>
          <w:sz w:val="22"/>
          <w:szCs w:val="22"/>
        </w:rPr>
        <w:t xml:space="preserve"> </w:t>
      </w:r>
      <w:r w:rsidR="00212C6B">
        <w:rPr>
          <w:rFonts w:cs="Arial"/>
          <w:bCs/>
          <w:iCs/>
          <w:sz w:val="22"/>
          <w:szCs w:val="22"/>
        </w:rPr>
        <w:t>bearing in mind the perceived need in the area</w:t>
      </w:r>
      <w:r w:rsidR="002C32DD">
        <w:rPr>
          <w:rFonts w:cs="Arial"/>
          <w:bCs/>
          <w:iCs/>
          <w:sz w:val="22"/>
          <w:szCs w:val="22"/>
        </w:rPr>
        <w:t xml:space="preserve"> and the shelf-life of THN kits</w:t>
      </w:r>
      <w:r w:rsidR="00212C6B">
        <w:rPr>
          <w:rFonts w:cs="Arial"/>
          <w:bCs/>
          <w:iCs/>
          <w:sz w:val="22"/>
          <w:szCs w:val="22"/>
        </w:rPr>
        <w:t xml:space="preserve">. </w:t>
      </w:r>
    </w:p>
    <w:p w14:paraId="60328114" w14:textId="77777777" w:rsidR="00CA796F" w:rsidRPr="00CE1695" w:rsidRDefault="00CA796F" w:rsidP="00CA796F">
      <w:pPr>
        <w:rPr>
          <w:rFonts w:cs="Arial"/>
          <w:sz w:val="22"/>
          <w:szCs w:val="22"/>
          <w:lang w:eastAsia="en-GB"/>
        </w:rPr>
      </w:pPr>
    </w:p>
    <w:p w14:paraId="0C8EC1B9" w14:textId="77777777" w:rsidR="00CA796F" w:rsidRPr="00CE1695" w:rsidRDefault="00CA796F" w:rsidP="00CA796F">
      <w:pPr>
        <w:jc w:val="left"/>
        <w:rPr>
          <w:rFonts w:cs="Arial"/>
          <w:bCs/>
          <w:sz w:val="22"/>
          <w:szCs w:val="22"/>
        </w:rPr>
      </w:pPr>
      <w:r w:rsidRPr="00CE1695">
        <w:rPr>
          <w:rFonts w:cs="Arial"/>
          <w:bCs/>
          <w:sz w:val="22"/>
          <w:szCs w:val="22"/>
        </w:rPr>
        <w:lastRenderedPageBreak/>
        <w:t>THN kits must be stored appropriately, in their original containers and in line with the manufacturer’s requirements. Inappropriate storage and handling may shorten the shelf life. THN kit recipients must be advised of appropriate storage conditions, and to keep the THN kit out-of-reach of children and pets.</w:t>
      </w:r>
    </w:p>
    <w:p w14:paraId="5BAA876F" w14:textId="77777777" w:rsidR="00CA796F" w:rsidRPr="00CE1695" w:rsidRDefault="00CA796F" w:rsidP="00CA796F">
      <w:pPr>
        <w:rPr>
          <w:rFonts w:cs="Arial"/>
          <w:sz w:val="22"/>
          <w:szCs w:val="22"/>
          <w:lang w:eastAsia="en-GB"/>
        </w:rPr>
      </w:pPr>
    </w:p>
    <w:p w14:paraId="381A9420" w14:textId="77777777" w:rsidR="00CA796F" w:rsidRPr="000C1DAB" w:rsidRDefault="00CA796F" w:rsidP="00CA796F">
      <w:pPr>
        <w:rPr>
          <w:rFonts w:cs="Arial"/>
          <w:b/>
          <w:sz w:val="22"/>
          <w:szCs w:val="22"/>
          <w:u w:val="single"/>
          <w:lang w:eastAsia="en-GB"/>
        </w:rPr>
      </w:pPr>
      <w:r w:rsidRPr="000C1DAB">
        <w:rPr>
          <w:rFonts w:cs="Arial"/>
          <w:b/>
          <w:sz w:val="22"/>
          <w:szCs w:val="22"/>
          <w:u w:val="single"/>
          <w:lang w:eastAsia="en-GB"/>
        </w:rPr>
        <w:t>Supply of THN (Proactive and Reactive supply):</w:t>
      </w:r>
    </w:p>
    <w:p w14:paraId="6EB1718E" w14:textId="77777777" w:rsidR="00CA796F" w:rsidRPr="00CE1695" w:rsidRDefault="00CA796F" w:rsidP="00CA796F">
      <w:pPr>
        <w:rPr>
          <w:rFonts w:cs="Arial"/>
          <w:b/>
          <w:sz w:val="22"/>
          <w:szCs w:val="22"/>
          <w:lang w:eastAsia="en-GB"/>
        </w:rPr>
      </w:pPr>
      <w:r w:rsidRPr="00CE1695">
        <w:rPr>
          <w:rFonts w:cs="Arial"/>
          <w:b/>
          <w:sz w:val="22"/>
          <w:szCs w:val="22"/>
          <w:lang w:eastAsia="en-GB"/>
        </w:rPr>
        <w:t>Proactive supply:</w:t>
      </w:r>
    </w:p>
    <w:p w14:paraId="7F55D890" w14:textId="79EFB7CE" w:rsidR="00CA796F" w:rsidRPr="00CE1695" w:rsidRDefault="00CA796F" w:rsidP="00CE1695">
      <w:pPr>
        <w:suppressAutoHyphens w:val="0"/>
        <w:jc w:val="left"/>
        <w:rPr>
          <w:rFonts w:cs="Arial"/>
          <w:sz w:val="22"/>
          <w:szCs w:val="22"/>
          <w:lang w:eastAsia="en-GB"/>
        </w:rPr>
      </w:pPr>
      <w:r w:rsidRPr="00CE1695">
        <w:rPr>
          <w:rFonts w:cs="Arial"/>
          <w:sz w:val="22"/>
          <w:szCs w:val="22"/>
          <w:lang w:eastAsia="en-GB"/>
        </w:rPr>
        <w:t>If an individual attends</w:t>
      </w:r>
      <w:r w:rsidR="00526215" w:rsidRPr="00CE1695">
        <w:rPr>
          <w:rFonts w:cs="Arial"/>
          <w:sz w:val="22"/>
          <w:szCs w:val="22"/>
          <w:lang w:eastAsia="en-GB"/>
        </w:rPr>
        <w:t xml:space="preserve"> the pharmacy</w:t>
      </w:r>
      <w:r w:rsidRPr="00CE1695">
        <w:rPr>
          <w:rFonts w:cs="Arial"/>
          <w:sz w:val="22"/>
          <w:szCs w:val="22"/>
          <w:lang w:eastAsia="en-GB"/>
        </w:rPr>
        <w:t xml:space="preserve"> for Needle Exchange or Supervised Consumption service, ask them if they have a naloxone kit.</w:t>
      </w:r>
      <w:r w:rsidR="00526215" w:rsidRPr="00CE1695">
        <w:rPr>
          <w:rFonts w:cs="Arial"/>
          <w:sz w:val="22"/>
          <w:szCs w:val="22"/>
          <w:lang w:eastAsia="en-GB"/>
        </w:rPr>
        <w:t xml:space="preserve"> </w:t>
      </w:r>
      <w:r w:rsidRPr="00CE1695">
        <w:rPr>
          <w:rFonts w:cs="Arial"/>
          <w:sz w:val="22"/>
          <w:szCs w:val="22"/>
          <w:lang w:eastAsia="en-GB"/>
        </w:rPr>
        <w:t>If they do not have naloxone, ask them if they would like to be supplied a THN kit, explaining what naloxone is and the benefits of having a THN kit.</w:t>
      </w:r>
    </w:p>
    <w:p w14:paraId="1B61F97C" w14:textId="77777777" w:rsidR="00CA796F" w:rsidRPr="00CE1695" w:rsidRDefault="00CA796F" w:rsidP="00CA796F">
      <w:pPr>
        <w:pStyle w:val="ListParagraph"/>
        <w:rPr>
          <w:rFonts w:cs="Arial"/>
          <w:sz w:val="22"/>
          <w:szCs w:val="22"/>
          <w:lang w:eastAsia="en-GB"/>
        </w:rPr>
      </w:pPr>
    </w:p>
    <w:p w14:paraId="18ACD68D" w14:textId="77777777" w:rsidR="00CA796F" w:rsidRPr="00CE1695" w:rsidRDefault="00CA796F" w:rsidP="00CA796F">
      <w:pPr>
        <w:numPr>
          <w:ilvl w:val="0"/>
          <w:numId w:val="31"/>
        </w:numPr>
        <w:suppressAutoHyphens w:val="0"/>
        <w:ind w:left="360"/>
        <w:jc w:val="left"/>
        <w:rPr>
          <w:rFonts w:cs="Arial"/>
          <w:sz w:val="22"/>
          <w:szCs w:val="22"/>
          <w:lang w:eastAsia="en-GB"/>
        </w:rPr>
      </w:pPr>
      <w:r w:rsidRPr="00CE1695">
        <w:rPr>
          <w:rFonts w:cs="Arial"/>
          <w:sz w:val="22"/>
          <w:szCs w:val="22"/>
          <w:lang w:eastAsia="en-GB"/>
        </w:rPr>
        <w:t>If the individual consents to THN supply:</w:t>
      </w:r>
    </w:p>
    <w:p w14:paraId="39AFA428" w14:textId="385BBAB4" w:rsidR="00CA796F" w:rsidRPr="00CE1695" w:rsidRDefault="00CA796F" w:rsidP="00CA796F">
      <w:pPr>
        <w:pStyle w:val="ListParagraph"/>
        <w:numPr>
          <w:ilvl w:val="0"/>
          <w:numId w:val="56"/>
        </w:numPr>
        <w:suppressAutoHyphens w:val="0"/>
        <w:jc w:val="left"/>
        <w:rPr>
          <w:rFonts w:cs="Arial"/>
          <w:sz w:val="22"/>
          <w:szCs w:val="22"/>
          <w:lang w:eastAsia="en-GB"/>
        </w:rPr>
      </w:pPr>
      <w:r w:rsidRPr="00CE1695">
        <w:rPr>
          <w:rFonts w:cs="Arial"/>
          <w:sz w:val="22"/>
          <w:szCs w:val="22"/>
          <w:lang w:eastAsia="en-GB"/>
        </w:rPr>
        <w:t>Lead them to a private area/room (if this is possible) and provide appropriate brief training on when and how to use naloxone (</w:t>
      </w:r>
      <w:r w:rsidR="00E36084">
        <w:rPr>
          <w:rFonts w:cs="Arial"/>
          <w:sz w:val="22"/>
          <w:szCs w:val="22"/>
          <w:lang w:eastAsia="en-GB"/>
        </w:rPr>
        <w:t>s</w:t>
      </w:r>
      <w:r w:rsidRPr="00CE1695">
        <w:rPr>
          <w:rFonts w:cs="Arial"/>
          <w:sz w:val="22"/>
          <w:szCs w:val="22"/>
          <w:lang w:eastAsia="en-GB"/>
        </w:rPr>
        <w:t xml:space="preserve">ee Appendix A). Training must be provided with each supply of a THN kit, regardless of whether it is a first-time or replacement supply, and </w:t>
      </w:r>
      <w:r w:rsidRPr="00CE1695">
        <w:rPr>
          <w:rFonts w:cs="Arial"/>
          <w:sz w:val="22"/>
          <w:szCs w:val="22"/>
        </w:rPr>
        <w:t>verification of the recipient’s knowledge and understanding of the training should be confirmed</w:t>
      </w:r>
      <w:r w:rsidR="00E36084">
        <w:rPr>
          <w:rFonts w:cs="Arial"/>
          <w:sz w:val="22"/>
          <w:szCs w:val="22"/>
        </w:rPr>
        <w:t xml:space="preserve"> (see checklist in Appendix B)</w:t>
      </w:r>
      <w:r w:rsidRPr="00CE1695">
        <w:rPr>
          <w:rFonts w:cs="Arial"/>
          <w:sz w:val="22"/>
          <w:szCs w:val="22"/>
        </w:rPr>
        <w:t>.</w:t>
      </w:r>
    </w:p>
    <w:p w14:paraId="22397092" w14:textId="77777777" w:rsidR="00CA796F" w:rsidRPr="00CE1695" w:rsidRDefault="00CA796F" w:rsidP="00CA796F">
      <w:pPr>
        <w:pStyle w:val="ListParagraph"/>
        <w:numPr>
          <w:ilvl w:val="0"/>
          <w:numId w:val="56"/>
        </w:numPr>
        <w:suppressAutoHyphens w:val="0"/>
        <w:jc w:val="left"/>
        <w:rPr>
          <w:rFonts w:cs="Arial"/>
          <w:sz w:val="22"/>
          <w:szCs w:val="22"/>
          <w:lang w:eastAsia="en-GB"/>
        </w:rPr>
      </w:pPr>
      <w:r w:rsidRPr="00CE1695">
        <w:rPr>
          <w:rFonts w:cs="Arial"/>
          <w:sz w:val="22"/>
          <w:szCs w:val="22"/>
          <w:lang w:eastAsia="en-GB"/>
        </w:rPr>
        <w:t>Ensure the individual is not knowingly allergic to naloxone or any of the THN product ingredients.</w:t>
      </w:r>
    </w:p>
    <w:p w14:paraId="10A042F2" w14:textId="1C67B7B6" w:rsidR="00CA796F" w:rsidRPr="00CE1695" w:rsidRDefault="00CA796F" w:rsidP="00CA796F">
      <w:pPr>
        <w:pStyle w:val="ListParagraph"/>
        <w:numPr>
          <w:ilvl w:val="0"/>
          <w:numId w:val="56"/>
        </w:numPr>
        <w:suppressAutoHyphens w:val="0"/>
        <w:jc w:val="left"/>
        <w:rPr>
          <w:rFonts w:cs="Arial"/>
          <w:sz w:val="22"/>
          <w:szCs w:val="22"/>
          <w:lang w:eastAsia="en-GB"/>
        </w:rPr>
      </w:pPr>
      <w:r w:rsidRPr="00CE1695">
        <w:rPr>
          <w:rFonts w:cs="Arial"/>
          <w:sz w:val="22"/>
          <w:szCs w:val="22"/>
          <w:lang w:eastAsia="en-GB"/>
        </w:rPr>
        <w:t>Supply them with a THN kit and advise them of the contents of the pack, safe handling/storage of naloxone, and the expiry date indicated.</w:t>
      </w:r>
      <w:r w:rsidR="003F1381" w:rsidRPr="00CE1695">
        <w:rPr>
          <w:rFonts w:cs="Arial"/>
          <w:sz w:val="22"/>
          <w:szCs w:val="22"/>
          <w:lang w:eastAsia="en-GB"/>
        </w:rPr>
        <w:t xml:space="preserve"> If supplying </w:t>
      </w:r>
      <w:proofErr w:type="spellStart"/>
      <w:r w:rsidR="003F1381" w:rsidRPr="00CE1695">
        <w:rPr>
          <w:rFonts w:cs="Arial"/>
          <w:sz w:val="22"/>
          <w:szCs w:val="22"/>
          <w:lang w:eastAsia="en-GB"/>
        </w:rPr>
        <w:t>Prenoxad</w:t>
      </w:r>
      <w:proofErr w:type="spellEnd"/>
      <w:r w:rsidR="003F1381" w:rsidRPr="00CE1695">
        <w:rPr>
          <w:rFonts w:cs="Arial"/>
          <w:sz w:val="22"/>
          <w:szCs w:val="22"/>
          <w:lang w:eastAsia="en-GB"/>
        </w:rPr>
        <w:t xml:space="preserve">, </w:t>
      </w:r>
      <w:r w:rsidR="003F1381" w:rsidRPr="00CE1695">
        <w:rPr>
          <w:sz w:val="22"/>
          <w:szCs w:val="22"/>
        </w:rPr>
        <w:t>visually inspect the front of the kit against a light source to confirm two (2) needle packets are present in the kit (If needles are present, two (2) dark squares can be seen in the middle of the kit)</w:t>
      </w:r>
      <w:r w:rsidR="00450962">
        <w:rPr>
          <w:sz w:val="22"/>
          <w:szCs w:val="22"/>
        </w:rPr>
        <w:t xml:space="preserve">. </w:t>
      </w:r>
      <w:proofErr w:type="spellStart"/>
      <w:r w:rsidR="00450962">
        <w:rPr>
          <w:sz w:val="22"/>
          <w:szCs w:val="22"/>
        </w:rPr>
        <w:t>Prenoxad</w:t>
      </w:r>
      <w:proofErr w:type="spellEnd"/>
      <w:r w:rsidR="00450962">
        <w:rPr>
          <w:sz w:val="22"/>
          <w:szCs w:val="22"/>
        </w:rPr>
        <w:t xml:space="preserve"> recipients should also be discouraged from using the needles in the pack for other purposes.</w:t>
      </w:r>
    </w:p>
    <w:p w14:paraId="6F34F057" w14:textId="77777777" w:rsidR="00CA796F" w:rsidRPr="00CE1695" w:rsidRDefault="00CA796F" w:rsidP="00CA796F">
      <w:pPr>
        <w:pStyle w:val="ListParagraph"/>
        <w:numPr>
          <w:ilvl w:val="0"/>
          <w:numId w:val="56"/>
        </w:numPr>
        <w:suppressAutoHyphens w:val="0"/>
        <w:jc w:val="left"/>
        <w:rPr>
          <w:rFonts w:cs="Arial"/>
          <w:sz w:val="22"/>
          <w:szCs w:val="22"/>
          <w:lang w:eastAsia="en-GB"/>
        </w:rPr>
      </w:pPr>
      <w:r w:rsidRPr="00CE1695">
        <w:rPr>
          <w:rFonts w:cs="Arial"/>
          <w:sz w:val="22"/>
          <w:szCs w:val="22"/>
          <w:lang w:eastAsia="en-GB"/>
        </w:rPr>
        <w:t>Attach a pre-printed pharmacy label to the THN kit supplied, indicating the date of supply and the supplying pharmacy name. Ensure that the label does not obscure important information such as expiry date, or affect the opening of the container. THN supplies are usually anonymised, and so the recipient's personal details do not need to be included on the label.</w:t>
      </w:r>
    </w:p>
    <w:p w14:paraId="5CF51CCF" w14:textId="77777777" w:rsidR="00CA796F" w:rsidRPr="00CE1695" w:rsidRDefault="00CA796F" w:rsidP="00CA796F">
      <w:pPr>
        <w:rPr>
          <w:rFonts w:cs="Arial"/>
          <w:sz w:val="22"/>
          <w:szCs w:val="22"/>
          <w:lang w:eastAsia="en-GB"/>
        </w:rPr>
      </w:pPr>
    </w:p>
    <w:p w14:paraId="425F1DEC" w14:textId="77777777" w:rsidR="00CA796F" w:rsidRPr="00CE1695" w:rsidRDefault="00CA796F" w:rsidP="00CA796F">
      <w:pPr>
        <w:pStyle w:val="ListParagraph"/>
        <w:numPr>
          <w:ilvl w:val="0"/>
          <w:numId w:val="54"/>
        </w:numPr>
        <w:suppressAutoHyphens w:val="0"/>
        <w:jc w:val="left"/>
        <w:rPr>
          <w:rFonts w:cs="Arial"/>
          <w:sz w:val="22"/>
          <w:szCs w:val="22"/>
          <w:lang w:eastAsia="en-GB"/>
        </w:rPr>
      </w:pPr>
      <w:r w:rsidRPr="00CE1695">
        <w:rPr>
          <w:rFonts w:cs="Arial"/>
          <w:sz w:val="22"/>
          <w:szCs w:val="22"/>
          <w:lang w:eastAsia="en-GB"/>
        </w:rPr>
        <w:t>If the individual does not consent to THN supply, do not force the agenda.  Accept this, but inform them that it is available in the pharmacy if they want a supply in the future. Ask again at a later date, if appropriate.</w:t>
      </w:r>
    </w:p>
    <w:p w14:paraId="560BAFB7" w14:textId="77777777" w:rsidR="00CA796F" w:rsidRPr="00CE1695" w:rsidRDefault="00CA796F" w:rsidP="00CA796F">
      <w:pPr>
        <w:ind w:left="360"/>
        <w:rPr>
          <w:rFonts w:cs="Arial"/>
          <w:sz w:val="22"/>
          <w:szCs w:val="22"/>
          <w:lang w:eastAsia="en-GB"/>
        </w:rPr>
      </w:pPr>
    </w:p>
    <w:p w14:paraId="1960D62D" w14:textId="3FDA6963" w:rsidR="00CA796F" w:rsidRPr="00CE1695" w:rsidRDefault="00CA796F" w:rsidP="00CA796F">
      <w:pPr>
        <w:numPr>
          <w:ilvl w:val="0"/>
          <w:numId w:val="31"/>
        </w:numPr>
        <w:suppressAutoHyphens w:val="0"/>
        <w:ind w:left="360"/>
        <w:jc w:val="left"/>
        <w:rPr>
          <w:rFonts w:cs="Arial"/>
          <w:sz w:val="22"/>
          <w:szCs w:val="22"/>
          <w:lang w:eastAsia="en-GB"/>
        </w:rPr>
      </w:pPr>
      <w:r w:rsidRPr="00CE1695">
        <w:rPr>
          <w:rFonts w:cs="Arial"/>
          <w:sz w:val="22"/>
          <w:szCs w:val="22"/>
          <w:lang w:eastAsia="en-GB"/>
        </w:rPr>
        <w:t xml:space="preserve">If appropriate, ask if the individual has any concerns or problems. Harm reduction messages can be provided, as appropriate. Service users may also be signposted to the Substance Use treatment service (currently provided by Turning Point: </w:t>
      </w:r>
      <w:hyperlink r:id="rId20" w:history="1">
        <w:r w:rsidRPr="00CE1695">
          <w:rPr>
            <w:rStyle w:val="Hyperlink"/>
            <w:rFonts w:cs="Arial"/>
            <w:sz w:val="22"/>
            <w:szCs w:val="22"/>
            <w:lang w:eastAsia="en-GB"/>
          </w:rPr>
          <w:t>https://www.turning-point.co.uk/services/oxfordshire</w:t>
        </w:r>
      </w:hyperlink>
      <w:r w:rsidR="004A4B68">
        <w:rPr>
          <w:rFonts w:cs="Arial"/>
          <w:sz w:val="22"/>
          <w:szCs w:val="22"/>
          <w:lang w:eastAsia="en-GB"/>
        </w:rPr>
        <w:t>;</w:t>
      </w:r>
      <w:r w:rsidRPr="00CE1695">
        <w:rPr>
          <w:rFonts w:cs="Arial"/>
          <w:sz w:val="22"/>
          <w:szCs w:val="22"/>
          <w:lang w:eastAsia="en-GB"/>
        </w:rPr>
        <w:t xml:space="preserve"> </w:t>
      </w:r>
      <w:r w:rsidR="004A4B68" w:rsidRPr="004A4B68">
        <w:rPr>
          <w:rFonts w:cs="Arial"/>
          <w:sz w:val="22"/>
          <w:szCs w:val="22"/>
          <w:lang w:eastAsia="en-GB"/>
        </w:rPr>
        <w:t>0300 0134 776)</w:t>
      </w:r>
      <w:r w:rsidR="004A4B68" w:rsidRPr="004A4B68">
        <w:rPr>
          <w:rFonts w:cs="Arial"/>
          <w:b/>
          <w:bCs/>
          <w:sz w:val="22"/>
          <w:szCs w:val="22"/>
          <w:lang w:eastAsia="en-GB"/>
        </w:rPr>
        <w:t> </w:t>
      </w:r>
      <w:r w:rsidRPr="00CE1695">
        <w:rPr>
          <w:rFonts w:cs="Arial"/>
          <w:sz w:val="22"/>
          <w:szCs w:val="22"/>
          <w:lang w:eastAsia="en-GB"/>
        </w:rPr>
        <w:t xml:space="preserve">or other Public Health services, as appropriate. </w:t>
      </w:r>
    </w:p>
    <w:p w14:paraId="05B13D39" w14:textId="77777777" w:rsidR="00526215" w:rsidRPr="00CE1695" w:rsidRDefault="00526215" w:rsidP="00CA796F">
      <w:pPr>
        <w:rPr>
          <w:rFonts w:cs="Arial"/>
          <w:sz w:val="22"/>
          <w:szCs w:val="22"/>
          <w:lang w:eastAsia="en-GB"/>
        </w:rPr>
      </w:pPr>
    </w:p>
    <w:p w14:paraId="1E4B8379" w14:textId="7C6B54CB" w:rsidR="00526215" w:rsidRPr="00CE1695" w:rsidRDefault="00CA796F" w:rsidP="00CA796F">
      <w:pPr>
        <w:rPr>
          <w:rFonts w:cs="Arial"/>
          <w:b/>
          <w:bCs/>
          <w:sz w:val="22"/>
          <w:szCs w:val="22"/>
          <w:lang w:eastAsia="en-GB"/>
        </w:rPr>
      </w:pPr>
      <w:r w:rsidRPr="00CE1695">
        <w:rPr>
          <w:rFonts w:cs="Arial"/>
          <w:b/>
          <w:bCs/>
          <w:sz w:val="22"/>
          <w:szCs w:val="22"/>
          <w:lang w:eastAsia="en-GB"/>
        </w:rPr>
        <w:t>Reactive supply:</w:t>
      </w:r>
    </w:p>
    <w:p w14:paraId="6AEA61AF" w14:textId="033F24C1" w:rsidR="00CA796F" w:rsidRPr="00CE1695" w:rsidRDefault="00CA796F" w:rsidP="00CE1695">
      <w:pPr>
        <w:rPr>
          <w:rFonts w:cs="Arial"/>
          <w:sz w:val="22"/>
          <w:szCs w:val="22"/>
          <w:lang w:eastAsia="en-GB"/>
        </w:rPr>
      </w:pPr>
      <w:r w:rsidRPr="00CE1695">
        <w:rPr>
          <w:rFonts w:cs="Arial"/>
          <w:sz w:val="22"/>
          <w:szCs w:val="22"/>
          <w:lang w:eastAsia="en-GB"/>
        </w:rPr>
        <w:t>If</w:t>
      </w:r>
      <w:r w:rsidR="00526215" w:rsidRPr="00CE1695">
        <w:rPr>
          <w:rFonts w:cs="Arial"/>
          <w:sz w:val="22"/>
          <w:szCs w:val="22"/>
          <w:lang w:eastAsia="en-GB"/>
        </w:rPr>
        <w:t xml:space="preserve"> </w:t>
      </w:r>
      <w:r w:rsidRPr="00CE1695">
        <w:rPr>
          <w:rFonts w:cs="Arial"/>
          <w:sz w:val="22"/>
          <w:szCs w:val="22"/>
          <w:lang w:eastAsia="en-GB"/>
        </w:rPr>
        <w:t xml:space="preserve">an individual </w:t>
      </w:r>
      <w:r w:rsidR="00526215" w:rsidRPr="00CE1695">
        <w:rPr>
          <w:rFonts w:cs="Arial"/>
          <w:sz w:val="22"/>
          <w:szCs w:val="22"/>
          <w:lang w:eastAsia="en-GB"/>
        </w:rPr>
        <w:t>attends</w:t>
      </w:r>
      <w:r w:rsidRPr="00CE1695">
        <w:rPr>
          <w:rFonts w:cs="Arial"/>
          <w:sz w:val="22"/>
          <w:szCs w:val="22"/>
          <w:lang w:eastAsia="en-GB"/>
        </w:rPr>
        <w:t xml:space="preserve"> the pharmacy and actively asks for a THN kit – due to current/previous opioid use, or as a relative/friend/carer/worker for someone who uses opioids, supply them with a THN kit referring to the supply procedure above.</w:t>
      </w:r>
    </w:p>
    <w:p w14:paraId="3CB26325" w14:textId="77777777" w:rsidR="00CA796F" w:rsidRPr="00CE1695" w:rsidRDefault="00CA796F" w:rsidP="00CA796F">
      <w:pPr>
        <w:pStyle w:val="ListParagraph"/>
        <w:rPr>
          <w:rFonts w:cs="Arial"/>
          <w:color w:val="FF0000"/>
          <w:sz w:val="22"/>
          <w:szCs w:val="22"/>
          <w:lang w:eastAsia="en-GB"/>
        </w:rPr>
      </w:pPr>
    </w:p>
    <w:p w14:paraId="229263ED" w14:textId="2871BBE8" w:rsidR="00CA796F" w:rsidRPr="00CE1695" w:rsidRDefault="00CA796F" w:rsidP="00CA796F">
      <w:pPr>
        <w:jc w:val="left"/>
        <w:rPr>
          <w:rFonts w:cs="Arial"/>
          <w:bCs/>
          <w:sz w:val="22"/>
          <w:szCs w:val="22"/>
        </w:rPr>
      </w:pPr>
      <w:r w:rsidRPr="00CE1695">
        <w:rPr>
          <w:rFonts w:cs="Arial"/>
          <w:bCs/>
          <w:sz w:val="22"/>
          <w:szCs w:val="22"/>
        </w:rPr>
        <w:t>Recipients of THN kits must be advised and encouraged to return</w:t>
      </w:r>
      <w:r w:rsidRPr="00CE1695">
        <w:rPr>
          <w:sz w:val="22"/>
          <w:szCs w:val="22"/>
        </w:rPr>
        <w:t xml:space="preserve"> used, partially used, and expired THN packs to the pharmacy for safe disposal and replacement (where </w:t>
      </w:r>
      <w:r w:rsidR="00CE1695">
        <w:rPr>
          <w:sz w:val="22"/>
          <w:szCs w:val="22"/>
        </w:rPr>
        <w:t>available</w:t>
      </w:r>
      <w:r w:rsidRPr="00CE1695">
        <w:rPr>
          <w:sz w:val="22"/>
          <w:szCs w:val="22"/>
        </w:rPr>
        <w:t xml:space="preserve">). Any used </w:t>
      </w:r>
      <w:proofErr w:type="spellStart"/>
      <w:r w:rsidRPr="00CE1695">
        <w:rPr>
          <w:sz w:val="22"/>
          <w:szCs w:val="22"/>
        </w:rPr>
        <w:t>Prenoxad</w:t>
      </w:r>
      <w:proofErr w:type="spellEnd"/>
      <w:r w:rsidRPr="00CE1695">
        <w:rPr>
          <w:sz w:val="22"/>
          <w:szCs w:val="22"/>
        </w:rPr>
        <w:t xml:space="preserve"> syringes returned to the pharmacy should be in a sealed sharps bin or the sealed </w:t>
      </w:r>
      <w:proofErr w:type="spellStart"/>
      <w:r w:rsidRPr="00CE1695">
        <w:rPr>
          <w:sz w:val="22"/>
          <w:szCs w:val="22"/>
        </w:rPr>
        <w:t>Prenoxad</w:t>
      </w:r>
      <w:proofErr w:type="spellEnd"/>
      <w:r w:rsidRPr="00CE1695">
        <w:rPr>
          <w:sz w:val="22"/>
          <w:szCs w:val="22"/>
        </w:rPr>
        <w:t xml:space="preserve"> case, which then goes in the sharps waste.</w:t>
      </w:r>
    </w:p>
    <w:p w14:paraId="65103AA3" w14:textId="77777777" w:rsidR="00CA796F" w:rsidRPr="00CE1695" w:rsidRDefault="00CA796F" w:rsidP="00CA796F">
      <w:pPr>
        <w:pStyle w:val="ListParagraph"/>
        <w:ind w:left="0"/>
        <w:jc w:val="left"/>
        <w:rPr>
          <w:rFonts w:cs="Arial"/>
          <w:b/>
          <w:bCs/>
          <w:sz w:val="22"/>
          <w:szCs w:val="22"/>
          <w:lang w:eastAsia="en-GB"/>
        </w:rPr>
      </w:pPr>
    </w:p>
    <w:p w14:paraId="3AA65A41" w14:textId="77777777" w:rsidR="00CA796F" w:rsidRPr="000C1DAB" w:rsidRDefault="00CA796F" w:rsidP="00CA796F">
      <w:pPr>
        <w:pStyle w:val="Default"/>
        <w:rPr>
          <w:b/>
          <w:color w:val="auto"/>
          <w:sz w:val="22"/>
          <w:szCs w:val="22"/>
          <w:u w:val="single"/>
        </w:rPr>
      </w:pPr>
      <w:r w:rsidRPr="000C1DAB">
        <w:rPr>
          <w:b/>
          <w:color w:val="auto"/>
          <w:sz w:val="22"/>
          <w:szCs w:val="22"/>
          <w:u w:val="single"/>
        </w:rPr>
        <w:t>Inclusion criteria and thresholds:</w:t>
      </w:r>
    </w:p>
    <w:p w14:paraId="1AE13DB1" w14:textId="77777777" w:rsidR="00CA796F" w:rsidRPr="00CE1695" w:rsidRDefault="00CA796F" w:rsidP="00CA796F">
      <w:pPr>
        <w:pStyle w:val="Default"/>
        <w:rPr>
          <w:bCs/>
          <w:color w:val="auto"/>
          <w:sz w:val="22"/>
          <w:szCs w:val="22"/>
        </w:rPr>
      </w:pPr>
      <w:r w:rsidRPr="00CE1695">
        <w:rPr>
          <w:bCs/>
          <w:color w:val="auto"/>
          <w:sz w:val="22"/>
          <w:szCs w:val="22"/>
        </w:rPr>
        <w:t>This service is for individuals aged 18 years or older, who are identified as at risk of an opioid overdose or who may witness an opioid overdose.</w:t>
      </w:r>
    </w:p>
    <w:p w14:paraId="4E086D1E" w14:textId="77777777" w:rsidR="00CA796F" w:rsidRPr="00CE1695" w:rsidRDefault="00CA796F" w:rsidP="00CA796F">
      <w:pPr>
        <w:pStyle w:val="Default"/>
        <w:rPr>
          <w:bCs/>
          <w:color w:val="auto"/>
          <w:sz w:val="22"/>
          <w:szCs w:val="22"/>
        </w:rPr>
      </w:pPr>
    </w:p>
    <w:p w14:paraId="344EEC1E" w14:textId="351C57EC" w:rsidR="00CA796F" w:rsidRPr="00CE1695" w:rsidRDefault="00CA796F" w:rsidP="00CA796F">
      <w:pPr>
        <w:pStyle w:val="Default"/>
        <w:rPr>
          <w:bCs/>
          <w:color w:val="FF0000"/>
          <w:sz w:val="22"/>
          <w:szCs w:val="22"/>
        </w:rPr>
      </w:pPr>
      <w:r w:rsidRPr="00CE1695">
        <w:rPr>
          <w:bCs/>
          <w:color w:val="auto"/>
          <w:sz w:val="22"/>
          <w:szCs w:val="22"/>
        </w:rPr>
        <w:lastRenderedPageBreak/>
        <w:t xml:space="preserve">There is currently no legal restriction under the legislation on the supply to children or young persons of naloxone; However, any decision to supply naloxone to a child would need very careful consideration and oversight </w:t>
      </w:r>
      <w:r w:rsidR="00712758">
        <w:rPr>
          <w:bCs/>
          <w:color w:val="auto"/>
          <w:sz w:val="22"/>
          <w:szCs w:val="22"/>
        </w:rPr>
        <w:t xml:space="preserve">by the responsible pharmacist, </w:t>
      </w:r>
      <w:r w:rsidRPr="00CE1695">
        <w:rPr>
          <w:bCs/>
          <w:color w:val="auto"/>
          <w:sz w:val="22"/>
          <w:szCs w:val="22"/>
        </w:rPr>
        <w:t xml:space="preserve">and would need to be made on a case-by-case basis. Therefore, this service allows the supply of a THN kit to individuals presenting to the pharmacy who wish to be provided with naloxone and are aged under 18 years, however, this </w:t>
      </w:r>
      <w:r w:rsidRPr="00CE1695">
        <w:rPr>
          <w:bCs/>
          <w:color w:val="auto"/>
          <w:sz w:val="22"/>
          <w:szCs w:val="22"/>
          <w:u w:val="single"/>
        </w:rPr>
        <w:t>must</w:t>
      </w:r>
      <w:r w:rsidRPr="00CE1695">
        <w:rPr>
          <w:bCs/>
          <w:color w:val="auto"/>
          <w:sz w:val="22"/>
          <w:szCs w:val="22"/>
        </w:rPr>
        <w:t xml:space="preserve"> be done in collaboration with </w:t>
      </w:r>
      <w:r w:rsidRPr="00CE1695">
        <w:rPr>
          <w:bCs/>
          <w:sz w:val="22"/>
          <w:szCs w:val="22"/>
        </w:rPr>
        <w:t>the locally commissioned Children and Young People</w:t>
      </w:r>
      <w:r w:rsidR="004A4B68">
        <w:rPr>
          <w:bCs/>
          <w:sz w:val="22"/>
          <w:szCs w:val="22"/>
        </w:rPr>
        <w:t>’</w:t>
      </w:r>
      <w:r w:rsidRPr="00CE1695">
        <w:rPr>
          <w:bCs/>
          <w:sz w:val="22"/>
          <w:szCs w:val="22"/>
        </w:rPr>
        <w:t xml:space="preserve">s </w:t>
      </w:r>
      <w:r w:rsidR="004A4B68">
        <w:rPr>
          <w:bCs/>
          <w:sz w:val="22"/>
          <w:szCs w:val="22"/>
        </w:rPr>
        <w:t>S</w:t>
      </w:r>
      <w:r w:rsidRPr="00CE1695">
        <w:rPr>
          <w:bCs/>
          <w:sz w:val="22"/>
          <w:szCs w:val="22"/>
        </w:rPr>
        <w:t xml:space="preserve">ubstance </w:t>
      </w:r>
      <w:r w:rsidR="004A4B68">
        <w:rPr>
          <w:bCs/>
          <w:sz w:val="22"/>
          <w:szCs w:val="22"/>
        </w:rPr>
        <w:t>U</w:t>
      </w:r>
      <w:r w:rsidRPr="00CE1695">
        <w:rPr>
          <w:bCs/>
          <w:sz w:val="22"/>
          <w:szCs w:val="22"/>
        </w:rPr>
        <w:t xml:space="preserve">se service, currently provided by Cranstoun Here4YOUth: </w:t>
      </w:r>
      <w:hyperlink r:id="rId21" w:history="1">
        <w:r w:rsidRPr="00CE1695">
          <w:rPr>
            <w:rStyle w:val="Hyperlink"/>
            <w:rFonts w:cs="Arial"/>
            <w:bCs/>
            <w:sz w:val="22"/>
            <w:szCs w:val="22"/>
          </w:rPr>
          <w:t>https://cranstoun.org/help-and-advice/young-people/oxfordshire-here4youth/</w:t>
        </w:r>
      </w:hyperlink>
      <w:r w:rsidR="00F16A1B">
        <w:rPr>
          <w:bCs/>
          <w:sz w:val="22"/>
          <w:szCs w:val="22"/>
        </w:rPr>
        <w:t xml:space="preserve">; </w:t>
      </w:r>
      <w:r w:rsidR="00F16A1B" w:rsidRPr="00F16A1B">
        <w:rPr>
          <w:bCs/>
          <w:sz w:val="22"/>
          <w:szCs w:val="22"/>
        </w:rPr>
        <w:t>01865 590 825</w:t>
      </w:r>
      <w:r w:rsidR="00F16A1B">
        <w:rPr>
          <w:bCs/>
          <w:sz w:val="22"/>
          <w:szCs w:val="22"/>
        </w:rPr>
        <w:t>.</w:t>
      </w:r>
    </w:p>
    <w:p w14:paraId="52C51B08" w14:textId="77777777" w:rsidR="00CA796F" w:rsidRPr="00CE1695" w:rsidRDefault="00CA796F" w:rsidP="00CA796F">
      <w:pPr>
        <w:rPr>
          <w:rFonts w:cs="Arial"/>
          <w:bCs/>
          <w:color w:val="FF0000"/>
          <w:sz w:val="22"/>
          <w:szCs w:val="22"/>
        </w:rPr>
      </w:pPr>
    </w:p>
    <w:p w14:paraId="6EAADD77" w14:textId="77777777" w:rsidR="00CA796F" w:rsidRPr="00CE1695" w:rsidRDefault="00000000" w:rsidP="00CA796F">
      <w:pPr>
        <w:pStyle w:val="Default"/>
        <w:rPr>
          <w:color w:val="auto"/>
          <w:sz w:val="22"/>
          <w:szCs w:val="22"/>
        </w:rPr>
      </w:pPr>
      <w:hyperlink r:id="rId22" w:history="1">
        <w:r w:rsidR="00CA796F" w:rsidRPr="00CE1695">
          <w:rPr>
            <w:rStyle w:val="Hyperlink"/>
            <w:rFonts w:cs="Arial"/>
            <w:color w:val="auto"/>
            <w:sz w:val="22"/>
            <w:szCs w:val="22"/>
            <w:u w:val="none"/>
          </w:rPr>
          <w:t>There are no contraindications to administering naloxone</w:t>
        </w:r>
      </w:hyperlink>
      <w:r w:rsidR="00CA796F" w:rsidRPr="00CE1695">
        <w:rPr>
          <w:color w:val="auto"/>
          <w:sz w:val="22"/>
          <w:szCs w:val="22"/>
        </w:rPr>
        <w:t xml:space="preserve">, but in some cases, caution is advised. There are 3 relevant groups to which this applies: </w:t>
      </w:r>
    </w:p>
    <w:p w14:paraId="2BFF1D16" w14:textId="77777777" w:rsidR="00CA796F" w:rsidRPr="00CE1695" w:rsidRDefault="00CA796F" w:rsidP="00CA796F">
      <w:pPr>
        <w:pStyle w:val="Default"/>
        <w:numPr>
          <w:ilvl w:val="0"/>
          <w:numId w:val="14"/>
        </w:numPr>
        <w:rPr>
          <w:color w:val="auto"/>
          <w:sz w:val="22"/>
          <w:szCs w:val="22"/>
        </w:rPr>
      </w:pPr>
      <w:r w:rsidRPr="00CE1695">
        <w:rPr>
          <w:color w:val="auto"/>
          <w:sz w:val="22"/>
          <w:szCs w:val="22"/>
        </w:rPr>
        <w:t xml:space="preserve">Pregnant women in third trimester, </w:t>
      </w:r>
    </w:p>
    <w:p w14:paraId="750B9C65" w14:textId="77777777" w:rsidR="00CA796F" w:rsidRPr="00CE1695" w:rsidRDefault="00CA796F" w:rsidP="00CA796F">
      <w:pPr>
        <w:pStyle w:val="Default"/>
        <w:numPr>
          <w:ilvl w:val="0"/>
          <w:numId w:val="14"/>
        </w:numPr>
        <w:rPr>
          <w:color w:val="auto"/>
          <w:sz w:val="22"/>
          <w:szCs w:val="22"/>
        </w:rPr>
      </w:pPr>
      <w:r w:rsidRPr="00CE1695">
        <w:rPr>
          <w:color w:val="auto"/>
          <w:sz w:val="22"/>
          <w:szCs w:val="22"/>
        </w:rPr>
        <w:t xml:space="preserve">People with known, pre-existing cardiac issues, and </w:t>
      </w:r>
    </w:p>
    <w:p w14:paraId="597BD2DD" w14:textId="77777777" w:rsidR="00CA796F" w:rsidRPr="00CE1695" w:rsidRDefault="00CA796F" w:rsidP="00CA796F">
      <w:pPr>
        <w:pStyle w:val="Default"/>
        <w:numPr>
          <w:ilvl w:val="0"/>
          <w:numId w:val="14"/>
        </w:numPr>
        <w:rPr>
          <w:color w:val="auto"/>
          <w:sz w:val="22"/>
          <w:szCs w:val="22"/>
        </w:rPr>
      </w:pPr>
      <w:r w:rsidRPr="00CE1695">
        <w:rPr>
          <w:color w:val="auto"/>
          <w:sz w:val="22"/>
          <w:szCs w:val="22"/>
        </w:rPr>
        <w:t xml:space="preserve">Terminally ill cancer patients. </w:t>
      </w:r>
    </w:p>
    <w:p w14:paraId="7E555201" w14:textId="749F7679" w:rsidR="00CA796F" w:rsidRPr="00CE1695" w:rsidRDefault="00CA796F" w:rsidP="00CA796F">
      <w:pPr>
        <w:pStyle w:val="Default"/>
        <w:rPr>
          <w:color w:val="auto"/>
          <w:sz w:val="22"/>
          <w:szCs w:val="22"/>
        </w:rPr>
      </w:pPr>
      <w:r w:rsidRPr="00CE1695">
        <w:rPr>
          <w:color w:val="auto"/>
          <w:sz w:val="22"/>
          <w:szCs w:val="22"/>
        </w:rPr>
        <w:t>Such individuals should be referred to the relevant specialist</w:t>
      </w:r>
      <w:r w:rsidR="00AC4C16" w:rsidRPr="00CE1695">
        <w:rPr>
          <w:color w:val="auto"/>
          <w:sz w:val="22"/>
          <w:szCs w:val="22"/>
        </w:rPr>
        <w:t xml:space="preserve"> agency;</w:t>
      </w:r>
      <w:r w:rsidRPr="00CE1695">
        <w:rPr>
          <w:color w:val="auto"/>
          <w:sz w:val="22"/>
          <w:szCs w:val="22"/>
        </w:rPr>
        <w:t xml:space="preserve"> any THN supply made must be done in collaboration with the relevant specialist.</w:t>
      </w:r>
    </w:p>
    <w:p w14:paraId="51AF07DE" w14:textId="77777777" w:rsidR="00CA796F" w:rsidRPr="00CE1695" w:rsidRDefault="00CA796F" w:rsidP="00CA796F">
      <w:pPr>
        <w:pStyle w:val="ListParagraph"/>
        <w:ind w:left="0"/>
        <w:rPr>
          <w:rFonts w:cs="Arial"/>
          <w:color w:val="FF0000"/>
          <w:sz w:val="22"/>
          <w:szCs w:val="22"/>
          <w:lang w:eastAsia="en-GB"/>
        </w:rPr>
      </w:pPr>
    </w:p>
    <w:p w14:paraId="42CDB6FA" w14:textId="77777777" w:rsidR="00CA796F" w:rsidRPr="000C1DAB" w:rsidRDefault="00CA796F" w:rsidP="00CA796F">
      <w:pPr>
        <w:pStyle w:val="ListParagraph"/>
        <w:ind w:left="0"/>
        <w:rPr>
          <w:rFonts w:cs="Arial"/>
          <w:b/>
          <w:bCs/>
          <w:sz w:val="22"/>
          <w:szCs w:val="22"/>
          <w:u w:val="single"/>
          <w:lang w:eastAsia="en-GB"/>
        </w:rPr>
      </w:pPr>
      <w:r w:rsidRPr="000C1DAB">
        <w:rPr>
          <w:rFonts w:cs="Arial"/>
          <w:b/>
          <w:bCs/>
          <w:sz w:val="22"/>
          <w:szCs w:val="22"/>
          <w:u w:val="single"/>
          <w:lang w:eastAsia="en-GB"/>
        </w:rPr>
        <w:t>Record keeping:</w:t>
      </w:r>
    </w:p>
    <w:p w14:paraId="0E355D57" w14:textId="49E20A4C" w:rsidR="00CA796F" w:rsidRPr="00CE1695" w:rsidRDefault="00CA796F" w:rsidP="00CE1695">
      <w:pPr>
        <w:pStyle w:val="ListParagraph"/>
        <w:numPr>
          <w:ilvl w:val="0"/>
          <w:numId w:val="33"/>
        </w:numPr>
        <w:suppressAutoHyphens w:val="0"/>
        <w:ind w:left="284" w:hanging="284"/>
        <w:jc w:val="left"/>
        <w:rPr>
          <w:rFonts w:cs="Arial"/>
          <w:sz w:val="22"/>
          <w:szCs w:val="22"/>
          <w:lang w:eastAsia="en-GB"/>
        </w:rPr>
      </w:pPr>
      <w:r w:rsidRPr="00CE1695">
        <w:rPr>
          <w:rFonts w:cs="Arial"/>
          <w:sz w:val="22"/>
          <w:szCs w:val="22"/>
          <w:lang w:eastAsia="en-GB"/>
        </w:rPr>
        <w:t>Ensure that a PharmOutcomes record is submitted as soon as possible.</w:t>
      </w:r>
    </w:p>
    <w:p w14:paraId="304A978A" w14:textId="77777777" w:rsidR="00CA796F" w:rsidRPr="00CE1695" w:rsidRDefault="00CA796F" w:rsidP="00CA796F">
      <w:pPr>
        <w:pStyle w:val="ListParagraph"/>
        <w:numPr>
          <w:ilvl w:val="0"/>
          <w:numId w:val="33"/>
        </w:numPr>
        <w:suppressAutoHyphens w:val="0"/>
        <w:ind w:left="284" w:hanging="284"/>
        <w:jc w:val="left"/>
        <w:rPr>
          <w:rFonts w:cs="Arial"/>
          <w:sz w:val="22"/>
          <w:szCs w:val="22"/>
          <w:lang w:eastAsia="en-GB"/>
        </w:rPr>
      </w:pPr>
      <w:r w:rsidRPr="00CE1695">
        <w:rPr>
          <w:rFonts w:cs="Arial"/>
          <w:sz w:val="22"/>
          <w:szCs w:val="22"/>
          <w:lang w:eastAsia="en-GB"/>
        </w:rPr>
        <w:t xml:space="preserve">Ensure that stock is appropriately maintained for the service. </w:t>
      </w:r>
    </w:p>
    <w:p w14:paraId="38A4672B" w14:textId="77777777" w:rsidR="00CA796F" w:rsidRPr="00CE1695" w:rsidRDefault="00CA796F" w:rsidP="00CA796F">
      <w:pPr>
        <w:pStyle w:val="ListParagraph"/>
        <w:rPr>
          <w:rFonts w:cs="Arial"/>
          <w:sz w:val="22"/>
          <w:szCs w:val="22"/>
          <w:lang w:eastAsia="en-GB"/>
        </w:rPr>
      </w:pPr>
    </w:p>
    <w:p w14:paraId="1616B4E4" w14:textId="77777777" w:rsidR="00CA796F" w:rsidRPr="000C1DAB" w:rsidRDefault="00CA796F" w:rsidP="00CA796F">
      <w:pPr>
        <w:rPr>
          <w:rFonts w:cs="Arial"/>
          <w:b/>
          <w:bCs/>
          <w:sz w:val="22"/>
          <w:szCs w:val="22"/>
          <w:u w:val="single"/>
          <w:lang w:eastAsia="en-GB"/>
        </w:rPr>
      </w:pPr>
      <w:r w:rsidRPr="000C1DAB">
        <w:rPr>
          <w:rFonts w:cs="Arial"/>
          <w:b/>
          <w:bCs/>
          <w:sz w:val="22"/>
          <w:szCs w:val="22"/>
          <w:u w:val="single"/>
          <w:lang w:eastAsia="en-GB"/>
        </w:rPr>
        <w:t xml:space="preserve">Review of SOP: </w:t>
      </w:r>
    </w:p>
    <w:p w14:paraId="00264142" w14:textId="68763860" w:rsidR="00CA796F" w:rsidRPr="00CE1695" w:rsidRDefault="00CA796F" w:rsidP="00CA796F">
      <w:pPr>
        <w:rPr>
          <w:rFonts w:cs="Arial"/>
          <w:sz w:val="22"/>
          <w:szCs w:val="22"/>
          <w:lang w:eastAsia="en-GB"/>
        </w:rPr>
      </w:pPr>
      <w:r w:rsidRPr="00CE1695">
        <w:rPr>
          <w:rFonts w:cs="Arial"/>
          <w:sz w:val="22"/>
          <w:szCs w:val="22"/>
          <w:lang w:eastAsia="en-GB"/>
        </w:rPr>
        <w:t>This SOP shall be reviewed</w:t>
      </w:r>
      <w:r w:rsidR="00CE1695">
        <w:rPr>
          <w:rFonts w:cs="Arial"/>
          <w:sz w:val="22"/>
          <w:szCs w:val="22"/>
          <w:lang w:eastAsia="en-GB"/>
        </w:rPr>
        <w:t xml:space="preserve"> every two years or in any of the below events</w:t>
      </w:r>
      <w:r w:rsidRPr="00CE1695">
        <w:rPr>
          <w:rFonts w:cs="Arial"/>
          <w:sz w:val="22"/>
          <w:szCs w:val="22"/>
          <w:lang w:eastAsia="en-GB"/>
        </w:rPr>
        <w:t>:</w:t>
      </w:r>
    </w:p>
    <w:p w14:paraId="56A23DD1" w14:textId="77777777" w:rsidR="00CA796F" w:rsidRPr="00CE1695" w:rsidRDefault="00CA796F" w:rsidP="00CA796F">
      <w:pPr>
        <w:pStyle w:val="ListParagraph"/>
        <w:numPr>
          <w:ilvl w:val="0"/>
          <w:numId w:val="34"/>
        </w:numPr>
        <w:suppressAutoHyphens w:val="0"/>
        <w:jc w:val="left"/>
        <w:rPr>
          <w:rFonts w:cs="Arial"/>
          <w:sz w:val="22"/>
          <w:szCs w:val="22"/>
          <w:lang w:eastAsia="en-GB"/>
        </w:rPr>
      </w:pPr>
      <w:r w:rsidRPr="00CE1695">
        <w:rPr>
          <w:rFonts w:cs="Arial"/>
          <w:sz w:val="22"/>
          <w:szCs w:val="22"/>
          <w:lang w:eastAsia="en-GB"/>
        </w:rPr>
        <w:t xml:space="preserve">Following an incident and/or </w:t>
      </w:r>
    </w:p>
    <w:p w14:paraId="292A67A6" w14:textId="77777777" w:rsidR="00CA796F" w:rsidRPr="00CE1695" w:rsidRDefault="00CA796F" w:rsidP="00CA796F">
      <w:pPr>
        <w:pStyle w:val="ListParagraph"/>
        <w:numPr>
          <w:ilvl w:val="0"/>
          <w:numId w:val="34"/>
        </w:numPr>
        <w:suppressAutoHyphens w:val="0"/>
        <w:jc w:val="left"/>
        <w:rPr>
          <w:rFonts w:cs="Arial"/>
          <w:sz w:val="22"/>
          <w:szCs w:val="22"/>
          <w:lang w:eastAsia="en-GB"/>
        </w:rPr>
      </w:pPr>
      <w:r w:rsidRPr="00CE1695">
        <w:rPr>
          <w:rFonts w:cs="Arial"/>
          <w:sz w:val="22"/>
          <w:szCs w:val="22"/>
          <w:lang w:eastAsia="en-GB"/>
        </w:rPr>
        <w:t xml:space="preserve">In the event of staff changes and/or </w:t>
      </w:r>
    </w:p>
    <w:p w14:paraId="5AD722AB" w14:textId="77777777" w:rsidR="00CA796F" w:rsidRPr="00CE1695" w:rsidRDefault="00CA796F" w:rsidP="00CA796F">
      <w:pPr>
        <w:pStyle w:val="ListParagraph"/>
        <w:numPr>
          <w:ilvl w:val="0"/>
          <w:numId w:val="34"/>
        </w:numPr>
        <w:suppressAutoHyphens w:val="0"/>
        <w:jc w:val="left"/>
        <w:rPr>
          <w:rFonts w:cs="Arial"/>
          <w:sz w:val="22"/>
          <w:szCs w:val="22"/>
          <w:lang w:eastAsia="en-GB"/>
        </w:rPr>
      </w:pPr>
      <w:r w:rsidRPr="00CE1695">
        <w:rPr>
          <w:rFonts w:cs="Arial"/>
          <w:sz w:val="22"/>
          <w:szCs w:val="22"/>
          <w:lang w:eastAsia="en-GB"/>
        </w:rPr>
        <w:t>Following a change in any government legislation affecting the supply of naloxone, or any locally commissioned contractual arrangements relevant to the service.</w:t>
      </w:r>
    </w:p>
    <w:p w14:paraId="37B46189" w14:textId="77777777" w:rsidR="00CA796F" w:rsidRPr="00CE1695" w:rsidRDefault="00CA796F" w:rsidP="00CA796F">
      <w:pPr>
        <w:rPr>
          <w:rFonts w:cs="Arial"/>
          <w:color w:val="FF0000"/>
          <w:sz w:val="22"/>
          <w:szCs w:val="22"/>
          <w:lang w:eastAsia="en-GB"/>
        </w:rPr>
      </w:pPr>
    </w:p>
    <w:p w14:paraId="1E0E86A2" w14:textId="77777777" w:rsidR="00CA796F" w:rsidRPr="000C1DAB" w:rsidRDefault="00CA796F" w:rsidP="00CA796F">
      <w:pPr>
        <w:rPr>
          <w:rFonts w:cs="Arial"/>
          <w:b/>
          <w:sz w:val="22"/>
          <w:szCs w:val="22"/>
          <w:u w:val="single"/>
          <w:lang w:eastAsia="en-GB"/>
        </w:rPr>
      </w:pPr>
      <w:r w:rsidRPr="000C1DAB">
        <w:rPr>
          <w:rFonts w:cs="Arial"/>
          <w:b/>
          <w:sz w:val="22"/>
          <w:szCs w:val="22"/>
          <w:u w:val="single"/>
          <w:lang w:eastAsia="en-GB"/>
        </w:rPr>
        <w:t xml:space="preserve">Known Risks: </w:t>
      </w:r>
    </w:p>
    <w:p w14:paraId="44C7E459" w14:textId="645EFD1B" w:rsidR="00CA796F" w:rsidRPr="00CE1695" w:rsidRDefault="00CA796F" w:rsidP="00CE1695">
      <w:pPr>
        <w:numPr>
          <w:ilvl w:val="0"/>
          <w:numId w:val="32"/>
        </w:numPr>
        <w:suppressAutoHyphens w:val="0"/>
        <w:ind w:left="360"/>
        <w:jc w:val="left"/>
        <w:rPr>
          <w:rFonts w:cs="Arial"/>
          <w:sz w:val="22"/>
          <w:szCs w:val="22"/>
          <w:lang w:eastAsia="en-GB"/>
        </w:rPr>
      </w:pPr>
      <w:r w:rsidRPr="00CE1695">
        <w:rPr>
          <w:rFonts w:cs="Arial"/>
          <w:sz w:val="22"/>
          <w:szCs w:val="22"/>
          <w:lang w:eastAsia="en-GB"/>
        </w:rPr>
        <w:t>New/locum staff</w:t>
      </w:r>
      <w:r w:rsidR="00F16A1B">
        <w:rPr>
          <w:rFonts w:cs="Arial"/>
          <w:sz w:val="22"/>
          <w:szCs w:val="22"/>
          <w:lang w:eastAsia="en-GB"/>
        </w:rPr>
        <w:t>,</w:t>
      </w:r>
      <w:r w:rsidRPr="00CE1695">
        <w:rPr>
          <w:rFonts w:cs="Arial"/>
          <w:sz w:val="22"/>
          <w:szCs w:val="22"/>
          <w:lang w:eastAsia="en-GB"/>
        </w:rPr>
        <w:t xml:space="preserve"> staff shortage</w:t>
      </w:r>
      <w:r w:rsidR="00F16A1B">
        <w:rPr>
          <w:rFonts w:cs="Arial"/>
          <w:sz w:val="22"/>
          <w:szCs w:val="22"/>
          <w:lang w:eastAsia="en-GB"/>
        </w:rPr>
        <w:t>, or</w:t>
      </w:r>
      <w:r w:rsidRPr="00CE1695">
        <w:rPr>
          <w:rFonts w:cs="Arial"/>
          <w:sz w:val="22"/>
          <w:szCs w:val="22"/>
          <w:lang w:eastAsia="en-GB"/>
        </w:rPr>
        <w:t xml:space="preserve"> busy periods resulting in unavailability of adequately trained personnel to provide the service. The pharmacy should be able to signpost to other local providers of naloxone when this occurs,</w:t>
      </w:r>
    </w:p>
    <w:p w14:paraId="438FF3C3" w14:textId="60BE212E" w:rsidR="00CA796F" w:rsidRPr="00CE1695" w:rsidRDefault="00CA796F" w:rsidP="00CA796F">
      <w:pPr>
        <w:numPr>
          <w:ilvl w:val="0"/>
          <w:numId w:val="32"/>
        </w:numPr>
        <w:suppressAutoHyphens w:val="0"/>
        <w:ind w:left="360"/>
        <w:jc w:val="left"/>
        <w:rPr>
          <w:rFonts w:cs="Arial"/>
          <w:sz w:val="22"/>
          <w:szCs w:val="22"/>
          <w:lang w:eastAsia="en-GB"/>
        </w:rPr>
      </w:pPr>
      <w:r w:rsidRPr="00CE1695">
        <w:rPr>
          <w:rFonts w:cs="Arial"/>
          <w:sz w:val="22"/>
          <w:szCs w:val="22"/>
          <w:lang w:eastAsia="en-GB"/>
        </w:rPr>
        <w:t xml:space="preserve">Poor storage of </w:t>
      </w:r>
      <w:r w:rsidR="00CE1695">
        <w:rPr>
          <w:rFonts w:cs="Arial"/>
          <w:sz w:val="22"/>
          <w:szCs w:val="22"/>
          <w:lang w:eastAsia="en-GB"/>
        </w:rPr>
        <w:t>THN kits</w:t>
      </w:r>
      <w:r w:rsidR="00CE1695" w:rsidRPr="00CE1695">
        <w:rPr>
          <w:rFonts w:cs="Arial"/>
          <w:sz w:val="22"/>
          <w:szCs w:val="22"/>
          <w:lang w:eastAsia="en-GB"/>
        </w:rPr>
        <w:t xml:space="preserve"> </w:t>
      </w:r>
      <w:r w:rsidRPr="00CE1695">
        <w:rPr>
          <w:rFonts w:cs="Arial"/>
          <w:sz w:val="22"/>
          <w:szCs w:val="22"/>
          <w:lang w:eastAsia="en-GB"/>
        </w:rPr>
        <w:t>which may shorten the shelf life of the THN kit,</w:t>
      </w:r>
    </w:p>
    <w:p w14:paraId="048759FC" w14:textId="4517D49F" w:rsidR="00CA796F" w:rsidRPr="00CE1695" w:rsidRDefault="00CA796F" w:rsidP="00CA796F">
      <w:pPr>
        <w:numPr>
          <w:ilvl w:val="0"/>
          <w:numId w:val="32"/>
        </w:numPr>
        <w:suppressAutoHyphens w:val="0"/>
        <w:ind w:left="360"/>
        <w:jc w:val="left"/>
        <w:rPr>
          <w:rFonts w:cs="Arial"/>
          <w:sz w:val="22"/>
          <w:szCs w:val="22"/>
          <w:lang w:eastAsia="en-GB"/>
        </w:rPr>
      </w:pPr>
      <w:r w:rsidRPr="00CE1695">
        <w:rPr>
          <w:rFonts w:cs="Arial"/>
          <w:sz w:val="22"/>
          <w:szCs w:val="22"/>
          <w:lang w:eastAsia="en-GB"/>
        </w:rPr>
        <w:t>Local/national THN stock</w:t>
      </w:r>
      <w:r w:rsidR="00CE1695">
        <w:rPr>
          <w:rFonts w:cs="Arial"/>
          <w:sz w:val="22"/>
          <w:szCs w:val="22"/>
          <w:lang w:eastAsia="en-GB"/>
        </w:rPr>
        <w:t xml:space="preserve"> availability</w:t>
      </w:r>
      <w:r w:rsidRPr="00CE1695">
        <w:rPr>
          <w:rFonts w:cs="Arial"/>
          <w:sz w:val="22"/>
          <w:szCs w:val="22"/>
          <w:lang w:eastAsia="en-GB"/>
        </w:rPr>
        <w:t xml:space="preserve"> issues.</w:t>
      </w:r>
    </w:p>
    <w:p w14:paraId="26BDB6FC" w14:textId="790BD5B2" w:rsidR="00CE1695" w:rsidRPr="00CE1695" w:rsidRDefault="00CA796F" w:rsidP="00AC4C16">
      <w:pPr>
        <w:numPr>
          <w:ilvl w:val="0"/>
          <w:numId w:val="32"/>
        </w:numPr>
        <w:suppressAutoHyphens w:val="0"/>
        <w:ind w:left="360"/>
        <w:jc w:val="left"/>
        <w:rPr>
          <w:rFonts w:cs="Arial"/>
          <w:sz w:val="22"/>
          <w:szCs w:val="22"/>
          <w:lang w:eastAsia="en-GB"/>
        </w:rPr>
      </w:pPr>
      <w:r w:rsidRPr="00CE1695">
        <w:rPr>
          <w:rFonts w:cs="Arial"/>
          <w:sz w:val="22"/>
          <w:szCs w:val="22"/>
          <w:lang w:eastAsia="en-GB"/>
        </w:rPr>
        <w:t xml:space="preserve">Needle stick injury for </w:t>
      </w:r>
      <w:proofErr w:type="spellStart"/>
      <w:r w:rsidRPr="00CE1695">
        <w:rPr>
          <w:rFonts w:cs="Arial"/>
          <w:sz w:val="22"/>
          <w:szCs w:val="22"/>
          <w:lang w:eastAsia="en-GB"/>
        </w:rPr>
        <w:t>Prenoxad</w:t>
      </w:r>
      <w:proofErr w:type="spellEnd"/>
      <w:r w:rsidRPr="00CE1695">
        <w:rPr>
          <w:rFonts w:cs="Arial"/>
          <w:sz w:val="22"/>
          <w:szCs w:val="22"/>
          <w:lang w:eastAsia="en-GB"/>
        </w:rPr>
        <w:t xml:space="preserve"> returns if not in sealed box/sharps bin.</w:t>
      </w:r>
    </w:p>
    <w:p w14:paraId="2918AC1F" w14:textId="0A4C22C8" w:rsidR="00FA7372" w:rsidRPr="00CE1695" w:rsidRDefault="00FA7372" w:rsidP="00CE1695">
      <w:pPr>
        <w:numPr>
          <w:ilvl w:val="0"/>
          <w:numId w:val="32"/>
        </w:numPr>
        <w:suppressAutoHyphens w:val="0"/>
        <w:ind w:left="360"/>
        <w:jc w:val="left"/>
        <w:rPr>
          <w:rFonts w:cs="Arial"/>
          <w:color w:val="FF0000"/>
          <w:sz w:val="22"/>
          <w:szCs w:val="22"/>
        </w:rPr>
      </w:pPr>
      <w:r w:rsidRPr="00CE1695">
        <w:rPr>
          <w:rFonts w:cs="Arial"/>
          <w:color w:val="FF0000"/>
          <w:sz w:val="22"/>
          <w:szCs w:val="22"/>
        </w:rPr>
        <w:br w:type="page"/>
      </w:r>
    </w:p>
    <w:bookmarkEnd w:id="5"/>
    <w:p w14:paraId="62F68CDD" w14:textId="77777777" w:rsidR="00E40C7E" w:rsidRPr="00CE1695" w:rsidRDefault="00FA7372" w:rsidP="00FA7372">
      <w:pPr>
        <w:suppressAutoHyphens w:val="0"/>
        <w:autoSpaceDE w:val="0"/>
        <w:autoSpaceDN w:val="0"/>
        <w:adjustRightInd w:val="0"/>
        <w:jc w:val="center"/>
        <w:rPr>
          <w:rFonts w:cs="Arial"/>
          <w:b/>
          <w:bCs/>
          <w:sz w:val="22"/>
          <w:szCs w:val="22"/>
        </w:rPr>
      </w:pPr>
      <w:r w:rsidRPr="00CE1695">
        <w:rPr>
          <w:rFonts w:cs="Arial"/>
          <w:b/>
          <w:bCs/>
          <w:sz w:val="22"/>
          <w:szCs w:val="22"/>
        </w:rPr>
        <w:lastRenderedPageBreak/>
        <w:t>APPENDIX A</w:t>
      </w:r>
    </w:p>
    <w:p w14:paraId="429EF132" w14:textId="6C4D87EA" w:rsidR="00FA7372" w:rsidRPr="00CE1695" w:rsidRDefault="00593D2A" w:rsidP="00FA7372">
      <w:pPr>
        <w:suppressAutoHyphens w:val="0"/>
        <w:autoSpaceDE w:val="0"/>
        <w:autoSpaceDN w:val="0"/>
        <w:adjustRightInd w:val="0"/>
        <w:jc w:val="center"/>
        <w:rPr>
          <w:rFonts w:cs="Arial"/>
          <w:b/>
          <w:bCs/>
          <w:sz w:val="22"/>
          <w:szCs w:val="22"/>
        </w:rPr>
      </w:pPr>
      <w:r w:rsidRPr="00CE1695">
        <w:rPr>
          <w:rFonts w:cs="Arial"/>
          <w:b/>
          <w:bCs/>
          <w:sz w:val="22"/>
          <w:szCs w:val="22"/>
        </w:rPr>
        <w:t xml:space="preserve">Take-Home Naloxone </w:t>
      </w:r>
      <w:r w:rsidR="00FA7372" w:rsidRPr="00CE1695">
        <w:rPr>
          <w:rFonts w:cs="Arial"/>
          <w:b/>
          <w:bCs/>
          <w:sz w:val="22"/>
          <w:szCs w:val="22"/>
        </w:rPr>
        <w:t>T</w:t>
      </w:r>
      <w:r w:rsidR="00CA796F" w:rsidRPr="00CE1695">
        <w:rPr>
          <w:rFonts w:cs="Arial"/>
          <w:b/>
          <w:bCs/>
          <w:sz w:val="22"/>
          <w:szCs w:val="22"/>
        </w:rPr>
        <w:t>raining</w:t>
      </w:r>
      <w:r w:rsidR="004B06C8" w:rsidRPr="00CE1695">
        <w:rPr>
          <w:rFonts w:cs="Arial"/>
          <w:b/>
          <w:bCs/>
          <w:sz w:val="22"/>
          <w:szCs w:val="22"/>
        </w:rPr>
        <w:t xml:space="preserve"> for Service Users</w:t>
      </w:r>
    </w:p>
    <w:p w14:paraId="6697EE11" w14:textId="77777777" w:rsidR="00FA7372" w:rsidRPr="00CE1695" w:rsidRDefault="00FA7372" w:rsidP="00FA7372">
      <w:pPr>
        <w:suppressAutoHyphens w:val="0"/>
        <w:autoSpaceDE w:val="0"/>
        <w:autoSpaceDN w:val="0"/>
        <w:adjustRightInd w:val="0"/>
        <w:jc w:val="center"/>
        <w:rPr>
          <w:rFonts w:cs="Arial"/>
          <w:b/>
          <w:bCs/>
          <w:color w:val="FF0000"/>
          <w:sz w:val="22"/>
          <w:szCs w:val="22"/>
        </w:rPr>
      </w:pPr>
    </w:p>
    <w:p w14:paraId="4F254432" w14:textId="77777777" w:rsidR="002E7DB1" w:rsidRPr="00212C6B" w:rsidRDefault="00593D2A" w:rsidP="000C1DAB">
      <w:pPr>
        <w:pStyle w:val="ListParagraph"/>
        <w:numPr>
          <w:ilvl w:val="0"/>
          <w:numId w:val="57"/>
        </w:numPr>
        <w:suppressAutoHyphens w:val="0"/>
        <w:autoSpaceDE w:val="0"/>
        <w:autoSpaceDN w:val="0"/>
        <w:adjustRightInd w:val="0"/>
        <w:jc w:val="left"/>
        <w:rPr>
          <w:rFonts w:cs="Arial"/>
          <w:b/>
          <w:bCs/>
          <w:sz w:val="22"/>
          <w:szCs w:val="22"/>
        </w:rPr>
      </w:pPr>
      <w:r w:rsidRPr="000C1DAB">
        <w:rPr>
          <w:rFonts w:cs="Arial"/>
          <w:b/>
          <w:bCs/>
          <w:sz w:val="22"/>
          <w:szCs w:val="22"/>
        </w:rPr>
        <w:t xml:space="preserve">What is Naloxone? – </w:t>
      </w:r>
      <w:r w:rsidRPr="000C1DAB">
        <w:rPr>
          <w:rFonts w:cs="Arial"/>
          <w:sz w:val="22"/>
          <w:szCs w:val="22"/>
        </w:rPr>
        <w:t xml:space="preserve">Naloxone is an emergency antidote </w:t>
      </w:r>
      <w:r w:rsidR="00633AA3" w:rsidRPr="000C1DAB">
        <w:rPr>
          <w:rFonts w:cs="Arial"/>
          <w:sz w:val="22"/>
          <w:szCs w:val="22"/>
        </w:rPr>
        <w:t>to</w:t>
      </w:r>
      <w:r w:rsidRPr="000C1DAB">
        <w:rPr>
          <w:rFonts w:cs="Arial"/>
          <w:sz w:val="22"/>
          <w:szCs w:val="22"/>
        </w:rPr>
        <w:t xml:space="preserve"> an overdose of opioid drugs such as Heroin, Methadone, Fentanyl, Oxycodone, Buprenorphine, or Morphine.</w:t>
      </w:r>
      <w:r w:rsidR="002653BB">
        <w:rPr>
          <w:rFonts w:cs="Arial"/>
          <w:sz w:val="22"/>
          <w:szCs w:val="22"/>
        </w:rPr>
        <w:t xml:space="preserve"> </w:t>
      </w:r>
    </w:p>
    <w:p w14:paraId="0730246F" w14:textId="7EB7D08D" w:rsidR="00FA7372" w:rsidRPr="000C1DAB" w:rsidRDefault="002653BB" w:rsidP="00212C6B">
      <w:pPr>
        <w:pStyle w:val="ListParagraph"/>
        <w:suppressAutoHyphens w:val="0"/>
        <w:autoSpaceDE w:val="0"/>
        <w:autoSpaceDN w:val="0"/>
        <w:adjustRightInd w:val="0"/>
        <w:ind w:left="360"/>
        <w:jc w:val="left"/>
        <w:rPr>
          <w:rFonts w:cs="Arial"/>
          <w:b/>
          <w:bCs/>
          <w:sz w:val="22"/>
          <w:szCs w:val="22"/>
        </w:rPr>
      </w:pPr>
      <w:r>
        <w:rPr>
          <w:rFonts w:cs="Arial"/>
          <w:sz w:val="22"/>
          <w:szCs w:val="22"/>
        </w:rPr>
        <w:t xml:space="preserve">Causes of </w:t>
      </w:r>
      <w:r w:rsidR="002E7DB1">
        <w:rPr>
          <w:rFonts w:cs="Arial"/>
          <w:sz w:val="22"/>
          <w:szCs w:val="22"/>
        </w:rPr>
        <w:t>drug</w:t>
      </w:r>
      <w:r w:rsidR="000D7FAC">
        <w:rPr>
          <w:rFonts w:cs="Arial"/>
          <w:sz w:val="22"/>
          <w:szCs w:val="22"/>
        </w:rPr>
        <w:t xml:space="preserve"> </w:t>
      </w:r>
      <w:r>
        <w:rPr>
          <w:rFonts w:cs="Arial"/>
          <w:sz w:val="22"/>
          <w:szCs w:val="22"/>
        </w:rPr>
        <w:t>overdose include</w:t>
      </w:r>
      <w:r w:rsidR="000D7FAC">
        <w:rPr>
          <w:rFonts w:cs="Arial"/>
          <w:sz w:val="22"/>
          <w:szCs w:val="22"/>
        </w:rPr>
        <w:t xml:space="preserve"> –</w:t>
      </w:r>
      <w:r>
        <w:rPr>
          <w:rFonts w:cs="Arial"/>
          <w:sz w:val="22"/>
          <w:szCs w:val="22"/>
        </w:rPr>
        <w:t xml:space="preserve"> using alone</w:t>
      </w:r>
      <w:r w:rsidR="002E7DB1">
        <w:rPr>
          <w:rFonts w:cs="Arial"/>
          <w:sz w:val="22"/>
          <w:szCs w:val="22"/>
        </w:rPr>
        <w:t xml:space="preserve">, using </w:t>
      </w:r>
      <w:r>
        <w:rPr>
          <w:rFonts w:cs="Arial"/>
          <w:sz w:val="22"/>
          <w:szCs w:val="22"/>
        </w:rPr>
        <w:t xml:space="preserve">too much, injecting, </w:t>
      </w:r>
      <w:r w:rsidR="000D7FAC">
        <w:rPr>
          <w:rFonts w:cs="Arial"/>
          <w:sz w:val="22"/>
          <w:szCs w:val="22"/>
        </w:rPr>
        <w:t xml:space="preserve">changes in drug purity levels, </w:t>
      </w:r>
      <w:r w:rsidR="002E7DB1">
        <w:rPr>
          <w:rFonts w:cs="Arial"/>
          <w:sz w:val="22"/>
          <w:szCs w:val="22"/>
        </w:rPr>
        <w:t xml:space="preserve">polydrug use, and </w:t>
      </w:r>
      <w:r w:rsidR="000D7FAC">
        <w:rPr>
          <w:rFonts w:cs="Arial"/>
          <w:sz w:val="22"/>
          <w:szCs w:val="22"/>
        </w:rPr>
        <w:t>low tolerance e.g., following prison release/detox/hospital discharge</w:t>
      </w:r>
      <w:r w:rsidR="002E7DB1">
        <w:rPr>
          <w:rFonts w:cs="Arial"/>
          <w:sz w:val="22"/>
          <w:szCs w:val="22"/>
        </w:rPr>
        <w:t>.</w:t>
      </w:r>
    </w:p>
    <w:p w14:paraId="40BD60B7" w14:textId="77777777" w:rsidR="00593D2A" w:rsidRPr="00CE1695" w:rsidRDefault="00593D2A" w:rsidP="00FA7372">
      <w:pPr>
        <w:suppressAutoHyphens w:val="0"/>
        <w:autoSpaceDE w:val="0"/>
        <w:autoSpaceDN w:val="0"/>
        <w:adjustRightInd w:val="0"/>
        <w:jc w:val="left"/>
        <w:rPr>
          <w:rFonts w:cs="Arial"/>
          <w:b/>
          <w:bCs/>
          <w:sz w:val="22"/>
          <w:szCs w:val="22"/>
        </w:rPr>
      </w:pPr>
    </w:p>
    <w:p w14:paraId="32A90853" w14:textId="088CF3B2" w:rsidR="00593D2A" w:rsidRPr="000C1DAB" w:rsidRDefault="00593D2A" w:rsidP="000C1DAB">
      <w:pPr>
        <w:pStyle w:val="ListParagraph"/>
        <w:numPr>
          <w:ilvl w:val="0"/>
          <w:numId w:val="57"/>
        </w:numPr>
        <w:suppressAutoHyphens w:val="0"/>
        <w:autoSpaceDE w:val="0"/>
        <w:autoSpaceDN w:val="0"/>
        <w:adjustRightInd w:val="0"/>
        <w:jc w:val="left"/>
        <w:rPr>
          <w:rFonts w:cs="Arial"/>
          <w:b/>
          <w:bCs/>
          <w:sz w:val="22"/>
          <w:szCs w:val="22"/>
        </w:rPr>
      </w:pPr>
      <w:r w:rsidRPr="000C1DAB">
        <w:rPr>
          <w:rFonts w:cs="Arial"/>
          <w:b/>
          <w:bCs/>
          <w:sz w:val="22"/>
          <w:szCs w:val="22"/>
        </w:rPr>
        <w:t xml:space="preserve">When to use naloxone – </w:t>
      </w:r>
      <w:r w:rsidRPr="000C1DAB">
        <w:rPr>
          <w:rFonts w:cs="Arial"/>
          <w:sz w:val="22"/>
          <w:szCs w:val="22"/>
        </w:rPr>
        <w:t>When you know or suspect that someone has overdosed on an opioid drug.</w:t>
      </w:r>
    </w:p>
    <w:p w14:paraId="1A8646E8" w14:textId="09088C9D" w:rsidR="000C1DAB" w:rsidRPr="000C1DAB" w:rsidRDefault="000C1DAB" w:rsidP="000C1DAB">
      <w:pPr>
        <w:suppressAutoHyphens w:val="0"/>
        <w:autoSpaceDE w:val="0"/>
        <w:autoSpaceDN w:val="0"/>
        <w:adjustRightInd w:val="0"/>
        <w:ind w:left="360"/>
        <w:jc w:val="left"/>
        <w:rPr>
          <w:rFonts w:cs="Arial"/>
          <w:sz w:val="22"/>
          <w:szCs w:val="22"/>
        </w:rPr>
      </w:pPr>
      <w:r w:rsidRPr="000C1DAB">
        <w:rPr>
          <w:rFonts w:cs="Arial"/>
          <w:sz w:val="22"/>
          <w:szCs w:val="22"/>
        </w:rPr>
        <w:t xml:space="preserve">If you carry </w:t>
      </w:r>
      <w:r>
        <w:rPr>
          <w:rFonts w:cs="Arial"/>
          <w:sz w:val="22"/>
          <w:szCs w:val="22"/>
        </w:rPr>
        <w:t xml:space="preserve">Take-Home </w:t>
      </w:r>
      <w:r w:rsidRPr="000C1DAB">
        <w:rPr>
          <w:rFonts w:cs="Arial"/>
          <w:sz w:val="22"/>
          <w:szCs w:val="22"/>
        </w:rPr>
        <w:t>N</w:t>
      </w:r>
      <w:r>
        <w:rPr>
          <w:rFonts w:cs="Arial"/>
          <w:sz w:val="22"/>
          <w:szCs w:val="22"/>
        </w:rPr>
        <w:t>aloxone, s</w:t>
      </w:r>
      <w:r w:rsidRPr="000C1DAB">
        <w:rPr>
          <w:rFonts w:cs="Arial"/>
          <w:sz w:val="22"/>
          <w:szCs w:val="22"/>
        </w:rPr>
        <w:t xml:space="preserve">et an alert in your calendar for 1 month before </w:t>
      </w:r>
      <w:r>
        <w:rPr>
          <w:rFonts w:cs="Arial"/>
          <w:sz w:val="22"/>
          <w:szCs w:val="22"/>
        </w:rPr>
        <w:t xml:space="preserve">it </w:t>
      </w:r>
      <w:r w:rsidRPr="000C1DAB">
        <w:rPr>
          <w:rFonts w:cs="Arial"/>
          <w:sz w:val="22"/>
          <w:szCs w:val="22"/>
        </w:rPr>
        <w:t>is due to expire</w:t>
      </w:r>
      <w:r w:rsidR="00F16A1B">
        <w:rPr>
          <w:rFonts w:cs="Arial"/>
          <w:sz w:val="22"/>
          <w:szCs w:val="22"/>
        </w:rPr>
        <w:t>, t</w:t>
      </w:r>
      <w:r w:rsidRPr="000C1DAB">
        <w:rPr>
          <w:rFonts w:cs="Arial"/>
          <w:sz w:val="22"/>
          <w:szCs w:val="22"/>
        </w:rPr>
        <w:t>hen arrange for a replacement.</w:t>
      </w:r>
    </w:p>
    <w:p w14:paraId="0BDD4D4C" w14:textId="77777777" w:rsidR="00593D2A" w:rsidRPr="00CE1695" w:rsidRDefault="00593D2A" w:rsidP="00FA7372">
      <w:pPr>
        <w:suppressAutoHyphens w:val="0"/>
        <w:autoSpaceDE w:val="0"/>
        <w:autoSpaceDN w:val="0"/>
        <w:adjustRightInd w:val="0"/>
        <w:jc w:val="left"/>
        <w:rPr>
          <w:rFonts w:cs="Arial"/>
          <w:b/>
          <w:bCs/>
          <w:sz w:val="22"/>
          <w:szCs w:val="22"/>
        </w:rPr>
      </w:pPr>
    </w:p>
    <w:p w14:paraId="1F38EE01" w14:textId="2AE9EFF2" w:rsidR="00593D2A" w:rsidRPr="000C1DAB" w:rsidRDefault="00593D2A" w:rsidP="000C1DAB">
      <w:pPr>
        <w:pStyle w:val="ListParagraph"/>
        <w:numPr>
          <w:ilvl w:val="0"/>
          <w:numId w:val="57"/>
        </w:numPr>
        <w:suppressAutoHyphens w:val="0"/>
        <w:autoSpaceDE w:val="0"/>
        <w:autoSpaceDN w:val="0"/>
        <w:adjustRightInd w:val="0"/>
        <w:jc w:val="left"/>
        <w:rPr>
          <w:rFonts w:cs="Arial"/>
          <w:b/>
          <w:bCs/>
          <w:sz w:val="22"/>
          <w:szCs w:val="22"/>
        </w:rPr>
      </w:pPr>
      <w:r w:rsidRPr="000C1DAB">
        <w:rPr>
          <w:rFonts w:cs="Arial"/>
          <w:b/>
          <w:bCs/>
          <w:sz w:val="22"/>
          <w:szCs w:val="22"/>
        </w:rPr>
        <w:t>What to do</w:t>
      </w:r>
      <w:r w:rsidR="00096EB2" w:rsidRPr="000C1DAB">
        <w:rPr>
          <w:rFonts w:cs="Arial"/>
          <w:b/>
          <w:bCs/>
          <w:sz w:val="22"/>
          <w:szCs w:val="22"/>
        </w:rPr>
        <w:t xml:space="preserve"> if you know or suspect that someone has overdosed on an opioid drug</w:t>
      </w:r>
      <w:r w:rsidR="002E7DB1">
        <w:rPr>
          <w:rFonts w:cs="Arial"/>
          <w:sz w:val="22"/>
          <w:szCs w:val="22"/>
        </w:rPr>
        <w:t>:</w:t>
      </w:r>
    </w:p>
    <w:tbl>
      <w:tblPr>
        <w:tblStyle w:val="TableGrid"/>
        <w:tblpPr w:leftFromText="180" w:rightFromText="180" w:vertAnchor="text" w:horzAnchor="margin" w:tblpXSpec="center" w:tblpY="236"/>
        <w:tblW w:w="11198" w:type="dxa"/>
        <w:tblLook w:val="04A0" w:firstRow="1" w:lastRow="0" w:firstColumn="1" w:lastColumn="0" w:noHBand="0" w:noVBand="1"/>
      </w:tblPr>
      <w:tblGrid>
        <w:gridCol w:w="3909"/>
        <w:gridCol w:w="3678"/>
        <w:gridCol w:w="3611"/>
      </w:tblGrid>
      <w:tr w:rsidR="00CA796F" w:rsidRPr="00CE1695" w14:paraId="5FD1A3A8" w14:textId="77777777" w:rsidTr="003160F1">
        <w:tc>
          <w:tcPr>
            <w:tcW w:w="4106" w:type="dxa"/>
          </w:tcPr>
          <w:p w14:paraId="5CF2654E" w14:textId="77777777" w:rsidR="00FA7372" w:rsidRPr="00DE314E" w:rsidRDefault="00FA7372"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ascii="Arial" w:hAnsi="Arial" w:cs="Arial"/>
                <w:b/>
                <w:bCs/>
                <w:szCs w:val="22"/>
              </w:rPr>
              <w:t>CHECK FOR SIGNS OF AN OVERDOSE</w:t>
            </w:r>
          </w:p>
          <w:p w14:paraId="5A2536E7" w14:textId="77777777" w:rsidR="00FA7372" w:rsidRPr="00DE314E" w:rsidRDefault="00FA7372" w:rsidP="009663AC">
            <w:pPr>
              <w:pStyle w:val="ListParagraph"/>
              <w:numPr>
                <w:ilvl w:val="1"/>
                <w:numId w:val="48"/>
              </w:numPr>
              <w:suppressAutoHyphens w:val="0"/>
              <w:autoSpaceDE w:val="0"/>
              <w:autoSpaceDN w:val="0"/>
              <w:adjustRightInd w:val="0"/>
              <w:jc w:val="left"/>
              <w:rPr>
                <w:rFonts w:ascii="Arial" w:hAnsi="Arial" w:cs="Arial"/>
                <w:szCs w:val="22"/>
              </w:rPr>
            </w:pPr>
            <w:r w:rsidRPr="00DE314E">
              <w:rPr>
                <w:rFonts w:ascii="Arial" w:hAnsi="Arial" w:cs="Arial"/>
                <w:szCs w:val="22"/>
              </w:rPr>
              <w:t>Approach with care:</w:t>
            </w:r>
          </w:p>
          <w:p w14:paraId="60B82664" w14:textId="7777777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check for dangers such as injecting materials that may be lying around,</w:t>
            </w:r>
          </w:p>
          <w:p w14:paraId="13A5A871" w14:textId="77777777" w:rsidR="00FA7372" w:rsidRPr="00DE314E" w:rsidRDefault="00FA7372" w:rsidP="009663AC">
            <w:pPr>
              <w:pStyle w:val="ListParagraph"/>
              <w:numPr>
                <w:ilvl w:val="1"/>
                <w:numId w:val="48"/>
              </w:numPr>
              <w:suppressAutoHyphens w:val="0"/>
              <w:autoSpaceDE w:val="0"/>
              <w:autoSpaceDN w:val="0"/>
              <w:adjustRightInd w:val="0"/>
              <w:jc w:val="left"/>
              <w:rPr>
                <w:rFonts w:ascii="Arial" w:hAnsi="Arial" w:cs="Arial"/>
                <w:szCs w:val="22"/>
              </w:rPr>
            </w:pPr>
            <w:r w:rsidRPr="00DE314E">
              <w:rPr>
                <w:rFonts w:ascii="Arial" w:hAnsi="Arial" w:cs="Arial"/>
                <w:szCs w:val="22"/>
              </w:rPr>
              <w:t>Check for a response:</w:t>
            </w:r>
          </w:p>
          <w:p w14:paraId="553BAFEC" w14:textId="7777777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xml:space="preserve">– shout their name, shake their shoulders, talk loudly into their ears, rub their breastbone, or pinch their ear or bed of fingernail, </w:t>
            </w:r>
          </w:p>
          <w:p w14:paraId="6DD8C567" w14:textId="77777777" w:rsidR="00FA7372" w:rsidRPr="00DE314E" w:rsidRDefault="00FA7372" w:rsidP="009663AC">
            <w:pPr>
              <w:pStyle w:val="ListParagraph"/>
              <w:numPr>
                <w:ilvl w:val="1"/>
                <w:numId w:val="48"/>
              </w:numPr>
              <w:suppressAutoHyphens w:val="0"/>
              <w:autoSpaceDE w:val="0"/>
              <w:autoSpaceDN w:val="0"/>
              <w:adjustRightInd w:val="0"/>
              <w:jc w:val="left"/>
              <w:rPr>
                <w:rFonts w:ascii="Arial" w:hAnsi="Arial" w:cs="Arial"/>
                <w:szCs w:val="22"/>
              </w:rPr>
            </w:pPr>
            <w:r w:rsidRPr="00DE314E">
              <w:rPr>
                <w:rFonts w:ascii="Arial" w:hAnsi="Arial" w:cs="Arial"/>
                <w:szCs w:val="22"/>
              </w:rPr>
              <w:t xml:space="preserve">Check airways and breathing: </w:t>
            </w:r>
          </w:p>
          <w:p w14:paraId="3019E400" w14:textId="7777777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clear mouth and nose of any blockages,</w:t>
            </w:r>
          </w:p>
          <w:p w14:paraId="6C4C96E9" w14:textId="7777777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for 10 seconds, check for breathing: is the chest moving? Can you hear breathing sounds? Can you feel breath on the cheek?</w:t>
            </w:r>
          </w:p>
          <w:p w14:paraId="51464A5A" w14:textId="77777777" w:rsidR="00FA7372" w:rsidRPr="00DE314E" w:rsidRDefault="00FA7372" w:rsidP="009663AC">
            <w:pPr>
              <w:pStyle w:val="ListParagraph"/>
              <w:numPr>
                <w:ilvl w:val="1"/>
                <w:numId w:val="48"/>
              </w:numPr>
              <w:suppressAutoHyphens w:val="0"/>
              <w:autoSpaceDE w:val="0"/>
              <w:autoSpaceDN w:val="0"/>
              <w:adjustRightInd w:val="0"/>
              <w:jc w:val="left"/>
              <w:rPr>
                <w:rFonts w:ascii="Arial" w:hAnsi="Arial" w:cs="Arial"/>
                <w:szCs w:val="22"/>
              </w:rPr>
            </w:pPr>
            <w:r w:rsidRPr="00DE314E">
              <w:rPr>
                <w:rFonts w:ascii="Arial" w:hAnsi="Arial" w:cs="Arial"/>
                <w:szCs w:val="22"/>
              </w:rPr>
              <w:t>Check for signs of overdose:</w:t>
            </w:r>
          </w:p>
          <w:p w14:paraId="109F3325" w14:textId="7777777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no response to touch or sounds</w:t>
            </w:r>
          </w:p>
          <w:p w14:paraId="4679BAC1" w14:textId="7777777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slow, uneven breathing or no breathing</w:t>
            </w:r>
          </w:p>
          <w:p w14:paraId="46FE4D50" w14:textId="0E59173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snoring, gasping</w:t>
            </w:r>
            <w:r w:rsidR="00852A36">
              <w:rPr>
                <w:rFonts w:ascii="Arial" w:hAnsi="Arial" w:cs="Arial"/>
                <w:szCs w:val="22"/>
              </w:rPr>
              <w:t>,</w:t>
            </w:r>
            <w:r w:rsidRPr="00DE314E">
              <w:rPr>
                <w:rFonts w:ascii="Arial" w:hAnsi="Arial" w:cs="Arial"/>
                <w:szCs w:val="22"/>
              </w:rPr>
              <w:t xml:space="preserve"> or gulping</w:t>
            </w:r>
          </w:p>
          <w:p w14:paraId="24E8CFAE" w14:textId="77777777" w:rsidR="00FA7372" w:rsidRPr="00DE314E" w:rsidRDefault="00FA7372" w:rsidP="009663AC">
            <w:pPr>
              <w:pStyle w:val="ListParagraph"/>
              <w:suppressAutoHyphens w:val="0"/>
              <w:autoSpaceDE w:val="0"/>
              <w:autoSpaceDN w:val="0"/>
              <w:adjustRightInd w:val="0"/>
              <w:jc w:val="left"/>
              <w:rPr>
                <w:rFonts w:ascii="Arial" w:hAnsi="Arial" w:cs="Arial"/>
                <w:szCs w:val="22"/>
              </w:rPr>
            </w:pPr>
            <w:r w:rsidRPr="00DE314E">
              <w:rPr>
                <w:rFonts w:ascii="Arial" w:hAnsi="Arial" w:cs="Arial"/>
                <w:szCs w:val="22"/>
              </w:rPr>
              <w:t>– blue or purple fingernails or lips</w:t>
            </w:r>
          </w:p>
          <w:p w14:paraId="127402FB" w14:textId="77777777" w:rsidR="00FA7372" w:rsidRPr="00DE314E" w:rsidRDefault="00FA7372" w:rsidP="009663AC">
            <w:pPr>
              <w:pStyle w:val="ListParagraph"/>
              <w:suppressAutoHyphens w:val="0"/>
              <w:autoSpaceDE w:val="0"/>
              <w:autoSpaceDN w:val="0"/>
              <w:adjustRightInd w:val="0"/>
              <w:ind w:left="360"/>
              <w:jc w:val="left"/>
              <w:rPr>
                <w:rFonts w:ascii="Arial" w:hAnsi="Arial" w:cs="Arial"/>
                <w:b/>
                <w:bCs/>
                <w:szCs w:val="22"/>
              </w:rPr>
            </w:pPr>
          </w:p>
          <w:p w14:paraId="07A31694" w14:textId="45F051A0" w:rsidR="00FA7372" w:rsidRPr="00DE314E" w:rsidRDefault="00FA7372"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ascii="Arial" w:hAnsi="Arial" w:cs="Arial"/>
                <w:b/>
                <w:bCs/>
                <w:szCs w:val="22"/>
              </w:rPr>
              <w:t>CALL AN AMBULANCE</w:t>
            </w:r>
            <w:r w:rsidR="00096EB2" w:rsidRPr="00DE314E">
              <w:rPr>
                <w:rFonts w:ascii="Arial" w:hAnsi="Arial" w:cs="Arial"/>
                <w:b/>
                <w:bCs/>
                <w:szCs w:val="22"/>
              </w:rPr>
              <w:t>!</w:t>
            </w:r>
          </w:p>
          <w:p w14:paraId="16A5D282" w14:textId="001FD061" w:rsidR="00FA7372" w:rsidRPr="00DE314E" w:rsidRDefault="00FA7372" w:rsidP="009663AC">
            <w:pPr>
              <w:pStyle w:val="ListParagraph"/>
              <w:numPr>
                <w:ilvl w:val="1"/>
                <w:numId w:val="48"/>
              </w:numPr>
              <w:suppressAutoHyphens w:val="0"/>
              <w:autoSpaceDE w:val="0"/>
              <w:autoSpaceDN w:val="0"/>
              <w:adjustRightInd w:val="0"/>
              <w:jc w:val="left"/>
              <w:rPr>
                <w:rFonts w:ascii="Arial" w:hAnsi="Arial" w:cs="Arial"/>
                <w:szCs w:val="22"/>
              </w:rPr>
            </w:pPr>
            <w:r w:rsidRPr="00712758">
              <w:rPr>
                <w:rFonts w:ascii="Arial" w:hAnsi="Arial" w:cs="Arial"/>
                <w:b/>
                <w:bCs/>
                <w:szCs w:val="22"/>
              </w:rPr>
              <w:t>Always call 999 immediately</w:t>
            </w:r>
            <w:r w:rsidR="00593D2A" w:rsidRPr="00DE314E">
              <w:rPr>
                <w:rFonts w:ascii="Arial" w:hAnsi="Arial" w:cs="Arial"/>
                <w:szCs w:val="22"/>
              </w:rPr>
              <w:t xml:space="preserve"> even if the person wakes up</w:t>
            </w:r>
            <w:r w:rsidRPr="00DE314E">
              <w:rPr>
                <w:rFonts w:ascii="Arial" w:hAnsi="Arial" w:cs="Arial"/>
                <w:szCs w:val="22"/>
              </w:rPr>
              <w:t xml:space="preserve">. Naloxone is </w:t>
            </w:r>
            <w:r w:rsidRPr="00DE314E">
              <w:rPr>
                <w:rFonts w:ascii="Arial" w:hAnsi="Arial" w:cs="Arial"/>
                <w:szCs w:val="22"/>
                <w:u w:val="single"/>
              </w:rPr>
              <w:t>not</w:t>
            </w:r>
            <w:r w:rsidRPr="00DE314E">
              <w:rPr>
                <w:rFonts w:ascii="Arial" w:hAnsi="Arial" w:cs="Arial"/>
                <w:szCs w:val="22"/>
              </w:rPr>
              <w:t xml:space="preserve"> a substitute for emergency medical care or basic life support.</w:t>
            </w:r>
          </w:p>
          <w:p w14:paraId="7289752E" w14:textId="77777777" w:rsidR="00FA7372" w:rsidRPr="00DE314E" w:rsidRDefault="00FA7372" w:rsidP="009663AC">
            <w:pPr>
              <w:pStyle w:val="ListParagraph"/>
              <w:suppressAutoHyphens w:val="0"/>
              <w:autoSpaceDE w:val="0"/>
              <w:autoSpaceDN w:val="0"/>
              <w:adjustRightInd w:val="0"/>
              <w:ind w:left="0"/>
              <w:jc w:val="left"/>
              <w:rPr>
                <w:rFonts w:ascii="Arial" w:hAnsi="Arial" w:cs="Arial"/>
                <w:b/>
                <w:bCs/>
                <w:szCs w:val="22"/>
              </w:rPr>
            </w:pPr>
          </w:p>
        </w:tc>
        <w:tc>
          <w:tcPr>
            <w:tcW w:w="3320" w:type="dxa"/>
          </w:tcPr>
          <w:p w14:paraId="1E614925" w14:textId="77777777" w:rsidR="00FA7372" w:rsidRPr="00DE314E" w:rsidRDefault="00FA7372"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ascii="Arial" w:hAnsi="Arial" w:cs="Arial"/>
                <w:b/>
                <w:bCs/>
                <w:szCs w:val="22"/>
              </w:rPr>
              <w:t>GIVE NALOXONE</w:t>
            </w:r>
          </w:p>
          <w:p w14:paraId="153FC56B" w14:textId="6A7CFEDE" w:rsidR="00FA7372" w:rsidRPr="00DE314E" w:rsidRDefault="00FA7372" w:rsidP="009663AC">
            <w:pPr>
              <w:pStyle w:val="ListParagraph"/>
              <w:numPr>
                <w:ilvl w:val="1"/>
                <w:numId w:val="48"/>
              </w:numPr>
              <w:suppressAutoHyphens w:val="0"/>
              <w:autoSpaceDE w:val="0"/>
              <w:autoSpaceDN w:val="0"/>
              <w:adjustRightInd w:val="0"/>
              <w:jc w:val="left"/>
              <w:rPr>
                <w:rFonts w:ascii="Arial" w:hAnsi="Arial" w:cs="Arial"/>
                <w:szCs w:val="22"/>
              </w:rPr>
            </w:pPr>
            <w:r w:rsidRPr="00DE314E">
              <w:rPr>
                <w:rFonts w:ascii="Arial" w:hAnsi="Arial" w:cs="Arial"/>
                <w:szCs w:val="22"/>
              </w:rPr>
              <w:t xml:space="preserve">Follow the instructions </w:t>
            </w:r>
            <w:r w:rsidR="00CA796F" w:rsidRPr="00DE314E">
              <w:rPr>
                <w:rFonts w:ascii="Arial" w:hAnsi="Arial" w:cs="Arial"/>
                <w:szCs w:val="22"/>
              </w:rPr>
              <w:t xml:space="preserve">for administering naloxone </w:t>
            </w:r>
            <w:r w:rsidRPr="00DE314E">
              <w:rPr>
                <w:rFonts w:ascii="Arial" w:hAnsi="Arial" w:cs="Arial"/>
                <w:szCs w:val="22"/>
              </w:rPr>
              <w:t xml:space="preserve">as described on </w:t>
            </w:r>
            <w:r w:rsidR="00CA796F" w:rsidRPr="00DE314E">
              <w:rPr>
                <w:rFonts w:ascii="Arial" w:hAnsi="Arial" w:cs="Arial"/>
                <w:szCs w:val="22"/>
              </w:rPr>
              <w:t>the naloxone</w:t>
            </w:r>
            <w:r w:rsidRPr="00DE314E">
              <w:rPr>
                <w:rFonts w:ascii="Arial" w:hAnsi="Arial" w:cs="Arial"/>
                <w:szCs w:val="22"/>
              </w:rPr>
              <w:t xml:space="preserve"> p</w:t>
            </w:r>
            <w:r w:rsidR="00CA796F" w:rsidRPr="00DE314E">
              <w:rPr>
                <w:rFonts w:ascii="Arial" w:hAnsi="Arial" w:cs="Arial"/>
                <w:szCs w:val="22"/>
              </w:rPr>
              <w:t>ack</w:t>
            </w:r>
            <w:r w:rsidRPr="00DE314E">
              <w:rPr>
                <w:rFonts w:ascii="Arial" w:hAnsi="Arial" w:cs="Arial"/>
                <w:szCs w:val="22"/>
              </w:rPr>
              <w:t xml:space="preserve"> provided.</w:t>
            </w:r>
          </w:p>
          <w:p w14:paraId="795F2532" w14:textId="1ADF00E8" w:rsidR="00FA7372" w:rsidRPr="00DE314E" w:rsidRDefault="00CA796F" w:rsidP="009663AC">
            <w:pPr>
              <w:pStyle w:val="ListParagraph"/>
              <w:numPr>
                <w:ilvl w:val="1"/>
                <w:numId w:val="48"/>
              </w:numPr>
              <w:suppressAutoHyphens w:val="0"/>
              <w:autoSpaceDE w:val="0"/>
              <w:autoSpaceDN w:val="0"/>
              <w:adjustRightInd w:val="0"/>
              <w:jc w:val="left"/>
              <w:rPr>
                <w:rFonts w:ascii="Arial" w:hAnsi="Arial" w:cs="Arial"/>
                <w:szCs w:val="22"/>
              </w:rPr>
            </w:pPr>
            <w:r w:rsidRPr="00DE314E">
              <w:rPr>
                <w:rFonts w:ascii="Arial" w:hAnsi="Arial" w:cs="Arial"/>
                <w:szCs w:val="22"/>
              </w:rPr>
              <w:t xml:space="preserve">NOTE: </w:t>
            </w:r>
            <w:r w:rsidR="00FA7372" w:rsidRPr="00DE314E">
              <w:rPr>
                <w:rFonts w:ascii="Arial" w:hAnsi="Arial" w:cs="Arial"/>
                <w:szCs w:val="22"/>
              </w:rPr>
              <w:t xml:space="preserve">If </w:t>
            </w:r>
            <w:r w:rsidRPr="00DE314E">
              <w:rPr>
                <w:rFonts w:ascii="Arial" w:hAnsi="Arial" w:cs="Arial"/>
                <w:szCs w:val="22"/>
              </w:rPr>
              <w:t>administering naloxone</w:t>
            </w:r>
            <w:r w:rsidR="00FA7372" w:rsidRPr="00DE314E">
              <w:rPr>
                <w:rFonts w:ascii="Arial" w:hAnsi="Arial" w:cs="Arial"/>
                <w:szCs w:val="22"/>
              </w:rPr>
              <w:t xml:space="preserve"> nasal spray – do </w:t>
            </w:r>
            <w:r w:rsidR="00FA7372" w:rsidRPr="00DE314E">
              <w:rPr>
                <w:rFonts w:ascii="Arial" w:hAnsi="Arial" w:cs="Arial"/>
                <w:szCs w:val="22"/>
                <w:u w:val="single"/>
              </w:rPr>
              <w:t>not</w:t>
            </w:r>
            <w:r w:rsidR="00FA7372" w:rsidRPr="00DE314E">
              <w:rPr>
                <w:rFonts w:ascii="Arial" w:hAnsi="Arial" w:cs="Arial"/>
                <w:szCs w:val="22"/>
              </w:rPr>
              <w:t xml:space="preserve"> prime or test the spray prior to use</w:t>
            </w:r>
            <w:r w:rsidR="009E0265" w:rsidRPr="00DE314E">
              <w:rPr>
                <w:rFonts w:ascii="Arial" w:hAnsi="Arial" w:cs="Arial"/>
                <w:szCs w:val="22"/>
              </w:rPr>
              <w:t>.</w:t>
            </w:r>
          </w:p>
          <w:p w14:paraId="5222EB3F" w14:textId="77777777" w:rsidR="00FA7372" w:rsidRPr="00DE314E" w:rsidRDefault="00FA7372" w:rsidP="009663AC">
            <w:pPr>
              <w:pStyle w:val="ListParagraph"/>
              <w:suppressAutoHyphens w:val="0"/>
              <w:autoSpaceDE w:val="0"/>
              <w:autoSpaceDN w:val="0"/>
              <w:adjustRightInd w:val="0"/>
              <w:ind w:left="360"/>
              <w:jc w:val="left"/>
              <w:rPr>
                <w:rFonts w:ascii="Arial" w:hAnsi="Arial" w:cs="Arial"/>
                <w:b/>
                <w:bCs/>
                <w:szCs w:val="22"/>
              </w:rPr>
            </w:pPr>
          </w:p>
          <w:p w14:paraId="20A7A1EF" w14:textId="77777777" w:rsidR="00FA7372" w:rsidRPr="00DE314E" w:rsidRDefault="00FA7372" w:rsidP="009663AC">
            <w:pPr>
              <w:suppressAutoHyphens w:val="0"/>
              <w:autoSpaceDE w:val="0"/>
              <w:autoSpaceDN w:val="0"/>
              <w:adjustRightInd w:val="0"/>
              <w:jc w:val="left"/>
              <w:rPr>
                <w:rFonts w:cs="Arial"/>
                <w:b/>
                <w:bCs/>
                <w:szCs w:val="22"/>
              </w:rPr>
            </w:pPr>
          </w:p>
          <w:p w14:paraId="59FC23B1" w14:textId="77777777" w:rsidR="00FA7372" w:rsidRPr="00DE314E" w:rsidRDefault="00FA7372" w:rsidP="009663AC">
            <w:pPr>
              <w:pStyle w:val="ListParagraph"/>
              <w:suppressAutoHyphens w:val="0"/>
              <w:autoSpaceDE w:val="0"/>
              <w:autoSpaceDN w:val="0"/>
              <w:adjustRightInd w:val="0"/>
              <w:ind w:left="360"/>
              <w:jc w:val="left"/>
              <w:rPr>
                <w:rFonts w:ascii="Arial" w:hAnsi="Arial" w:cs="Arial"/>
                <w:b/>
                <w:bCs/>
                <w:szCs w:val="22"/>
              </w:rPr>
            </w:pPr>
          </w:p>
          <w:p w14:paraId="38F21D49" w14:textId="31F9B3F0" w:rsidR="00FA7372" w:rsidRPr="00DE314E" w:rsidRDefault="00CA796F"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cs="Arial"/>
                <w:noProof/>
                <w:szCs w:val="22"/>
              </w:rPr>
              <w:drawing>
                <wp:anchor distT="0" distB="0" distL="114300" distR="114300" simplePos="0" relativeHeight="251659264" behindDoc="0" locked="0" layoutInCell="1" allowOverlap="1" wp14:anchorId="7ABF6DC2" wp14:editId="5D4A6EB6">
                  <wp:simplePos x="0" y="0"/>
                  <wp:positionH relativeFrom="column">
                    <wp:posOffset>635</wp:posOffset>
                  </wp:positionH>
                  <wp:positionV relativeFrom="page">
                    <wp:posOffset>2423160</wp:posOffset>
                  </wp:positionV>
                  <wp:extent cx="2198370" cy="3457575"/>
                  <wp:effectExtent l="0" t="0" r="0" b="9525"/>
                  <wp:wrapSquare wrapText="bothSides"/>
                  <wp:docPr id="1042650626" name="Picture 4" descr="A red outline of a person lying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28704" name="Picture 4" descr="A red outline of a person lying dow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8370"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372" w:rsidRPr="00DE314E">
              <w:rPr>
                <w:rFonts w:ascii="Arial" w:hAnsi="Arial" w:cs="Arial"/>
                <w:b/>
                <w:bCs/>
                <w:szCs w:val="22"/>
              </w:rPr>
              <w:t>PUT INTO RECOVERY POSITION</w:t>
            </w:r>
          </w:p>
          <w:p w14:paraId="3B5A4725" w14:textId="6959B821" w:rsidR="00FA7372" w:rsidRPr="00DE314E" w:rsidRDefault="00FA7372" w:rsidP="009663AC">
            <w:pPr>
              <w:pStyle w:val="ListParagraph"/>
              <w:suppressAutoHyphens w:val="0"/>
              <w:autoSpaceDE w:val="0"/>
              <w:autoSpaceDN w:val="0"/>
              <w:adjustRightInd w:val="0"/>
              <w:ind w:left="0"/>
              <w:jc w:val="left"/>
              <w:rPr>
                <w:rFonts w:ascii="Arial" w:hAnsi="Arial" w:cs="Arial"/>
                <w:b/>
                <w:bCs/>
                <w:szCs w:val="22"/>
              </w:rPr>
            </w:pPr>
          </w:p>
        </w:tc>
        <w:tc>
          <w:tcPr>
            <w:tcW w:w="3772" w:type="dxa"/>
          </w:tcPr>
          <w:p w14:paraId="1168372D" w14:textId="77777777" w:rsidR="00FA7372" w:rsidRPr="00DE314E" w:rsidRDefault="00FA7372"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ascii="Arial" w:hAnsi="Arial" w:cs="Arial"/>
                <w:b/>
                <w:bCs/>
                <w:szCs w:val="22"/>
              </w:rPr>
              <w:t>MONITOR UNTIL THE AMBULANCE ARRIVES</w:t>
            </w:r>
          </w:p>
          <w:p w14:paraId="66197FEE" w14:textId="77777777" w:rsidR="00FA7372" w:rsidRPr="00DE314E" w:rsidRDefault="00FA7372" w:rsidP="00AC4C16">
            <w:pPr>
              <w:suppressAutoHyphens w:val="0"/>
              <w:autoSpaceDE w:val="0"/>
              <w:autoSpaceDN w:val="0"/>
              <w:adjustRightInd w:val="0"/>
              <w:ind w:left="360"/>
              <w:jc w:val="left"/>
              <w:rPr>
                <w:rFonts w:ascii="Arial" w:hAnsi="Arial" w:cs="Arial"/>
                <w:szCs w:val="22"/>
              </w:rPr>
            </w:pPr>
            <w:r w:rsidRPr="00DE314E">
              <w:rPr>
                <w:rFonts w:ascii="Arial" w:hAnsi="Arial" w:cs="Arial"/>
                <w:szCs w:val="22"/>
              </w:rPr>
              <w:t>Stay with the person. Watch for improvement in breathing and their response to sound and touch.</w:t>
            </w:r>
          </w:p>
          <w:p w14:paraId="7B4DAB58" w14:textId="77777777" w:rsidR="00FA7372" w:rsidRPr="00DE314E" w:rsidRDefault="00FA7372" w:rsidP="009663AC">
            <w:pPr>
              <w:pStyle w:val="ListParagraph"/>
              <w:suppressAutoHyphens w:val="0"/>
              <w:autoSpaceDE w:val="0"/>
              <w:autoSpaceDN w:val="0"/>
              <w:adjustRightInd w:val="0"/>
              <w:ind w:left="360"/>
              <w:jc w:val="left"/>
              <w:rPr>
                <w:rFonts w:ascii="Arial" w:hAnsi="Arial" w:cs="Arial"/>
                <w:b/>
                <w:bCs/>
                <w:szCs w:val="22"/>
              </w:rPr>
            </w:pPr>
          </w:p>
          <w:p w14:paraId="6DB33FA9" w14:textId="5CA286CC" w:rsidR="00FA7372" w:rsidRPr="00DE314E" w:rsidRDefault="00FA7372"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ascii="Arial" w:hAnsi="Arial" w:cs="Arial"/>
                <w:b/>
                <w:bCs/>
                <w:szCs w:val="22"/>
              </w:rPr>
              <w:t>GIVE</w:t>
            </w:r>
            <w:r w:rsidR="00F16A1B">
              <w:rPr>
                <w:rFonts w:ascii="Arial" w:hAnsi="Arial" w:cs="Arial"/>
                <w:b/>
                <w:bCs/>
                <w:szCs w:val="22"/>
              </w:rPr>
              <w:t xml:space="preserve"> ANOTHER</w:t>
            </w:r>
            <w:r w:rsidRPr="00DE314E">
              <w:rPr>
                <w:rFonts w:ascii="Arial" w:hAnsi="Arial" w:cs="Arial"/>
                <w:b/>
                <w:bCs/>
                <w:szCs w:val="22"/>
              </w:rPr>
              <w:t xml:space="preserve"> DOSE OF NALOXONE IF NO IMPROVEMENT AFTER 2-3 MINUTES</w:t>
            </w:r>
          </w:p>
          <w:p w14:paraId="109E176E" w14:textId="77777777" w:rsidR="00FA7372" w:rsidRPr="00DE314E" w:rsidRDefault="00FA7372" w:rsidP="009663AC">
            <w:pPr>
              <w:pStyle w:val="ListParagraph"/>
              <w:suppressAutoHyphens w:val="0"/>
              <w:autoSpaceDE w:val="0"/>
              <w:autoSpaceDN w:val="0"/>
              <w:adjustRightInd w:val="0"/>
              <w:ind w:left="360"/>
              <w:jc w:val="left"/>
              <w:rPr>
                <w:rFonts w:ascii="Arial" w:hAnsi="Arial" w:cs="Arial"/>
                <w:b/>
                <w:bCs/>
                <w:szCs w:val="22"/>
              </w:rPr>
            </w:pPr>
          </w:p>
          <w:p w14:paraId="1BF59322" w14:textId="77777777" w:rsidR="00FA7372" w:rsidRPr="00DE314E" w:rsidRDefault="00FA7372"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ascii="Arial" w:hAnsi="Arial" w:cs="Arial"/>
                <w:b/>
                <w:bCs/>
                <w:szCs w:val="22"/>
              </w:rPr>
              <w:t>TAKE CARE FOR YOUR PERSONAL SAFETY</w:t>
            </w:r>
          </w:p>
          <w:p w14:paraId="024AEA22" w14:textId="0A0876DF" w:rsidR="00FA7372" w:rsidRPr="00DE314E" w:rsidRDefault="00FA7372" w:rsidP="00AC4C16">
            <w:pPr>
              <w:suppressAutoHyphens w:val="0"/>
              <w:autoSpaceDE w:val="0"/>
              <w:autoSpaceDN w:val="0"/>
              <w:adjustRightInd w:val="0"/>
              <w:ind w:left="360"/>
              <w:jc w:val="left"/>
              <w:rPr>
                <w:rFonts w:ascii="Arial" w:hAnsi="Arial" w:cs="Arial"/>
                <w:szCs w:val="22"/>
              </w:rPr>
            </w:pPr>
            <w:r w:rsidRPr="00DE314E">
              <w:rPr>
                <w:rFonts w:ascii="Arial" w:hAnsi="Arial" w:cs="Arial"/>
                <w:szCs w:val="22"/>
              </w:rPr>
              <w:t>Naloxone can cause acute withdrawal symptoms if the person is dependent on opioid drugs. Some people may seem to act aggressively as they wake up</w:t>
            </w:r>
            <w:r w:rsidR="009E0265" w:rsidRPr="00DE314E">
              <w:rPr>
                <w:rFonts w:ascii="Arial" w:hAnsi="Arial" w:cs="Arial"/>
                <w:szCs w:val="22"/>
              </w:rPr>
              <w:t>.</w:t>
            </w:r>
          </w:p>
          <w:p w14:paraId="0F04C750" w14:textId="77777777" w:rsidR="00FA7372" w:rsidRPr="00DE314E" w:rsidRDefault="00FA7372" w:rsidP="009663AC">
            <w:pPr>
              <w:pStyle w:val="ListParagraph"/>
              <w:suppressAutoHyphens w:val="0"/>
              <w:autoSpaceDE w:val="0"/>
              <w:autoSpaceDN w:val="0"/>
              <w:adjustRightInd w:val="0"/>
              <w:jc w:val="left"/>
              <w:rPr>
                <w:rFonts w:ascii="Arial" w:hAnsi="Arial" w:cs="Arial"/>
                <w:b/>
                <w:bCs/>
                <w:szCs w:val="22"/>
              </w:rPr>
            </w:pPr>
          </w:p>
          <w:p w14:paraId="455EFAF1" w14:textId="77777777" w:rsidR="00FA7372" w:rsidRPr="00DE314E" w:rsidRDefault="00FA7372" w:rsidP="009663AC">
            <w:pPr>
              <w:pStyle w:val="ListParagraph"/>
              <w:numPr>
                <w:ilvl w:val="0"/>
                <w:numId w:val="48"/>
              </w:numPr>
              <w:suppressAutoHyphens w:val="0"/>
              <w:autoSpaceDE w:val="0"/>
              <w:autoSpaceDN w:val="0"/>
              <w:adjustRightInd w:val="0"/>
              <w:jc w:val="left"/>
              <w:rPr>
                <w:rFonts w:ascii="Arial" w:hAnsi="Arial" w:cs="Arial"/>
                <w:b/>
                <w:bCs/>
                <w:szCs w:val="22"/>
              </w:rPr>
            </w:pPr>
            <w:r w:rsidRPr="00DE314E">
              <w:rPr>
                <w:rFonts w:ascii="Arial" w:hAnsi="Arial" w:cs="Arial"/>
                <w:b/>
                <w:bCs/>
                <w:szCs w:val="22"/>
              </w:rPr>
              <w:t xml:space="preserve">When the ambulance arrives, immediately tell them what has happened and that you have given naloxone. </w:t>
            </w:r>
          </w:p>
          <w:p w14:paraId="67CDC6D7" w14:textId="77777777" w:rsidR="00FA7372" w:rsidRPr="00DE314E" w:rsidRDefault="00FA7372" w:rsidP="009663AC">
            <w:pPr>
              <w:pStyle w:val="ListParagraph"/>
              <w:suppressAutoHyphens w:val="0"/>
              <w:autoSpaceDE w:val="0"/>
              <w:autoSpaceDN w:val="0"/>
              <w:adjustRightInd w:val="0"/>
              <w:ind w:left="360"/>
              <w:jc w:val="left"/>
              <w:rPr>
                <w:rFonts w:ascii="Arial" w:hAnsi="Arial" w:cs="Arial"/>
                <w:b/>
                <w:bCs/>
                <w:szCs w:val="22"/>
              </w:rPr>
            </w:pPr>
          </w:p>
          <w:p w14:paraId="5C521765" w14:textId="6EEB1118" w:rsidR="00FA7372" w:rsidRPr="00DE314E" w:rsidRDefault="00FA7372" w:rsidP="009663AC">
            <w:pPr>
              <w:pStyle w:val="ListParagraph"/>
              <w:suppressAutoHyphens w:val="0"/>
              <w:autoSpaceDE w:val="0"/>
              <w:autoSpaceDN w:val="0"/>
              <w:adjustRightInd w:val="0"/>
              <w:ind w:left="360"/>
              <w:jc w:val="left"/>
              <w:rPr>
                <w:rFonts w:ascii="Arial" w:hAnsi="Arial" w:cs="Arial"/>
                <w:szCs w:val="22"/>
              </w:rPr>
            </w:pPr>
            <w:r w:rsidRPr="00DE314E">
              <w:rPr>
                <w:rFonts w:ascii="Arial" w:hAnsi="Arial" w:cs="Arial"/>
                <w:szCs w:val="22"/>
              </w:rPr>
              <w:t xml:space="preserve">You can give the used naloxone </w:t>
            </w:r>
            <w:r w:rsidR="00212C6B">
              <w:rPr>
                <w:rFonts w:ascii="Arial" w:hAnsi="Arial" w:cs="Arial"/>
                <w:szCs w:val="22"/>
              </w:rPr>
              <w:t xml:space="preserve">kit </w:t>
            </w:r>
            <w:r w:rsidRPr="00DE314E">
              <w:rPr>
                <w:rFonts w:ascii="Arial" w:hAnsi="Arial" w:cs="Arial"/>
                <w:szCs w:val="22"/>
              </w:rPr>
              <w:t xml:space="preserve">to the paramedics for disposal and ask </w:t>
            </w:r>
            <w:r w:rsidR="002E7DB1">
              <w:rPr>
                <w:rFonts w:ascii="Arial" w:hAnsi="Arial" w:cs="Arial"/>
                <w:szCs w:val="22"/>
              </w:rPr>
              <w:t xml:space="preserve">them </w:t>
            </w:r>
            <w:r w:rsidRPr="00DE314E">
              <w:rPr>
                <w:rFonts w:ascii="Arial" w:hAnsi="Arial" w:cs="Arial"/>
                <w:szCs w:val="22"/>
              </w:rPr>
              <w:t xml:space="preserve">for a replacement, or you can return </w:t>
            </w:r>
            <w:r w:rsidR="002E7DB1">
              <w:rPr>
                <w:rFonts w:ascii="Arial" w:hAnsi="Arial" w:cs="Arial"/>
                <w:szCs w:val="22"/>
              </w:rPr>
              <w:t xml:space="preserve">the </w:t>
            </w:r>
            <w:r w:rsidRPr="00DE314E">
              <w:rPr>
                <w:rFonts w:ascii="Arial" w:hAnsi="Arial" w:cs="Arial"/>
                <w:szCs w:val="22"/>
              </w:rPr>
              <w:t>used naloxone</w:t>
            </w:r>
            <w:r w:rsidR="00212C6B">
              <w:rPr>
                <w:rFonts w:ascii="Arial" w:hAnsi="Arial" w:cs="Arial"/>
                <w:szCs w:val="22"/>
              </w:rPr>
              <w:t xml:space="preserve"> kit</w:t>
            </w:r>
            <w:r w:rsidRPr="00DE314E">
              <w:rPr>
                <w:rFonts w:ascii="Arial" w:hAnsi="Arial" w:cs="Arial"/>
                <w:szCs w:val="22"/>
              </w:rPr>
              <w:t xml:space="preserve"> to the </w:t>
            </w:r>
            <w:r w:rsidR="00CA796F" w:rsidRPr="00DE314E">
              <w:rPr>
                <w:rFonts w:ascii="Arial" w:hAnsi="Arial" w:cs="Arial"/>
                <w:szCs w:val="22"/>
              </w:rPr>
              <w:t>supplying p</w:t>
            </w:r>
            <w:r w:rsidRPr="00DE314E">
              <w:rPr>
                <w:rFonts w:ascii="Arial" w:hAnsi="Arial" w:cs="Arial"/>
                <w:szCs w:val="22"/>
              </w:rPr>
              <w:t>harmacy, and they will arrange for a replacement.</w:t>
            </w:r>
          </w:p>
          <w:p w14:paraId="5458701B" w14:textId="77777777" w:rsidR="00FA7372" w:rsidRPr="00DE314E" w:rsidRDefault="00FA7372" w:rsidP="009663AC">
            <w:pPr>
              <w:pStyle w:val="ListParagraph"/>
              <w:suppressAutoHyphens w:val="0"/>
              <w:autoSpaceDE w:val="0"/>
              <w:autoSpaceDN w:val="0"/>
              <w:adjustRightInd w:val="0"/>
              <w:ind w:left="0"/>
              <w:jc w:val="left"/>
              <w:rPr>
                <w:rFonts w:ascii="Arial" w:hAnsi="Arial" w:cs="Arial"/>
                <w:b/>
                <w:bCs/>
                <w:szCs w:val="22"/>
              </w:rPr>
            </w:pPr>
          </w:p>
        </w:tc>
      </w:tr>
    </w:tbl>
    <w:p w14:paraId="6078713F" w14:textId="527D74F7" w:rsidR="005241AE" w:rsidRDefault="005241AE">
      <w:pPr>
        <w:suppressAutoHyphens w:val="0"/>
        <w:jc w:val="left"/>
        <w:rPr>
          <w:rFonts w:cs="Arial"/>
          <w:color w:val="FF0000"/>
          <w:sz w:val="22"/>
          <w:szCs w:val="22"/>
        </w:rPr>
      </w:pPr>
    </w:p>
    <w:p w14:paraId="7778F95F" w14:textId="742F7A16" w:rsidR="0048515D" w:rsidRDefault="00A47C47" w:rsidP="00633AA3">
      <w:pPr>
        <w:suppressAutoHyphens w:val="0"/>
        <w:jc w:val="center"/>
        <w:rPr>
          <w:rFonts w:cs="Arial"/>
          <w:b/>
          <w:bCs/>
          <w:sz w:val="22"/>
          <w:szCs w:val="22"/>
        </w:rPr>
      </w:pPr>
      <w:r>
        <w:rPr>
          <w:rFonts w:cs="Arial"/>
          <w:b/>
          <w:bCs/>
          <w:sz w:val="22"/>
          <w:szCs w:val="22"/>
        </w:rPr>
        <w:lastRenderedPageBreak/>
        <w:t>APPENDIX B</w:t>
      </w:r>
    </w:p>
    <w:p w14:paraId="7337554A" w14:textId="2173E5F0" w:rsidR="00E36084" w:rsidRDefault="00E36084" w:rsidP="00633AA3">
      <w:pPr>
        <w:suppressAutoHyphens w:val="0"/>
        <w:jc w:val="center"/>
        <w:rPr>
          <w:rFonts w:cs="Arial"/>
          <w:b/>
          <w:bCs/>
          <w:sz w:val="22"/>
          <w:szCs w:val="22"/>
        </w:rPr>
      </w:pPr>
      <w:r>
        <w:rPr>
          <w:rFonts w:cs="Arial"/>
          <w:b/>
          <w:bCs/>
          <w:sz w:val="22"/>
          <w:szCs w:val="22"/>
        </w:rPr>
        <w:t>Take-Home Naloxone Service User Training Checklist</w:t>
      </w:r>
    </w:p>
    <w:p w14:paraId="4400CB40" w14:textId="77777777" w:rsidR="00E36084" w:rsidRDefault="00E36084" w:rsidP="00633AA3">
      <w:pPr>
        <w:suppressAutoHyphens w:val="0"/>
        <w:jc w:val="center"/>
        <w:rPr>
          <w:rFonts w:cs="Arial"/>
          <w:b/>
          <w:bCs/>
          <w:sz w:val="22"/>
          <w:szCs w:val="22"/>
        </w:rPr>
      </w:pPr>
    </w:p>
    <w:p w14:paraId="05009B2F" w14:textId="42A0F11C" w:rsidR="00E36084" w:rsidRDefault="00E36084" w:rsidP="00E36084">
      <w:pPr>
        <w:suppressAutoHyphens w:val="0"/>
        <w:jc w:val="left"/>
        <w:rPr>
          <w:rFonts w:cs="Arial"/>
          <w:sz w:val="22"/>
          <w:szCs w:val="22"/>
        </w:rPr>
      </w:pPr>
      <w:r>
        <w:rPr>
          <w:rFonts w:cs="Arial"/>
          <w:sz w:val="22"/>
          <w:szCs w:val="22"/>
        </w:rPr>
        <w:t>The Service Provider sh</w:t>
      </w:r>
      <w:r w:rsidR="002E7DB1">
        <w:rPr>
          <w:rFonts w:cs="Arial"/>
          <w:sz w:val="22"/>
          <w:szCs w:val="22"/>
        </w:rPr>
        <w:t>ould</w:t>
      </w:r>
      <w:r>
        <w:rPr>
          <w:rFonts w:cs="Arial"/>
          <w:sz w:val="22"/>
          <w:szCs w:val="22"/>
        </w:rPr>
        <w:t xml:space="preserve"> ensure that the Take-Home Naloxone recipient:</w:t>
      </w:r>
    </w:p>
    <w:p w14:paraId="4FD2A0D8" w14:textId="77777777" w:rsidR="002E7DB1" w:rsidRDefault="002E7DB1" w:rsidP="00E36084">
      <w:pPr>
        <w:suppressAutoHyphens w:val="0"/>
        <w:jc w:val="left"/>
        <w:rPr>
          <w:rFonts w:cs="Arial"/>
          <w:sz w:val="22"/>
          <w:szCs w:val="22"/>
        </w:rPr>
      </w:pPr>
    </w:p>
    <w:p w14:paraId="58D59396" w14:textId="407E20FD" w:rsidR="00E36084" w:rsidRDefault="00E36084" w:rsidP="00F16A1B">
      <w:pPr>
        <w:pStyle w:val="ListParagraph"/>
        <w:numPr>
          <w:ilvl w:val="0"/>
          <w:numId w:val="61"/>
        </w:numPr>
        <w:suppressAutoHyphens w:val="0"/>
        <w:jc w:val="left"/>
        <w:rPr>
          <w:rFonts w:cs="Arial"/>
          <w:sz w:val="22"/>
          <w:szCs w:val="22"/>
        </w:rPr>
      </w:pPr>
      <w:r>
        <w:rPr>
          <w:rFonts w:cs="Arial"/>
          <w:sz w:val="22"/>
          <w:szCs w:val="22"/>
        </w:rPr>
        <w:t xml:space="preserve">Understands what naloxone </w:t>
      </w:r>
      <w:r w:rsidR="002653BB">
        <w:rPr>
          <w:rFonts w:cs="Arial"/>
          <w:sz w:val="22"/>
          <w:szCs w:val="22"/>
        </w:rPr>
        <w:t>is and what it is used for,</w:t>
      </w:r>
    </w:p>
    <w:p w14:paraId="717C3C7D" w14:textId="7C477C9D" w:rsidR="000D7FAC" w:rsidRDefault="000D7FAC" w:rsidP="00F16A1B">
      <w:pPr>
        <w:pStyle w:val="ListParagraph"/>
        <w:numPr>
          <w:ilvl w:val="0"/>
          <w:numId w:val="61"/>
        </w:numPr>
        <w:suppressAutoHyphens w:val="0"/>
        <w:jc w:val="left"/>
        <w:rPr>
          <w:rFonts w:cs="Arial"/>
          <w:sz w:val="22"/>
          <w:szCs w:val="22"/>
        </w:rPr>
      </w:pPr>
      <w:r>
        <w:rPr>
          <w:rFonts w:cs="Arial"/>
          <w:sz w:val="22"/>
          <w:szCs w:val="22"/>
        </w:rPr>
        <w:t>Can identify causes of drug overdose,</w:t>
      </w:r>
    </w:p>
    <w:p w14:paraId="2300FE00" w14:textId="07FA9DA7" w:rsidR="002653BB" w:rsidRDefault="002653BB" w:rsidP="00F16A1B">
      <w:pPr>
        <w:pStyle w:val="ListParagraph"/>
        <w:numPr>
          <w:ilvl w:val="0"/>
          <w:numId w:val="61"/>
        </w:numPr>
        <w:suppressAutoHyphens w:val="0"/>
        <w:jc w:val="left"/>
        <w:rPr>
          <w:rFonts w:cs="Arial"/>
          <w:sz w:val="22"/>
          <w:szCs w:val="22"/>
        </w:rPr>
      </w:pPr>
      <w:r>
        <w:rPr>
          <w:rFonts w:cs="Arial"/>
          <w:sz w:val="22"/>
          <w:szCs w:val="22"/>
        </w:rPr>
        <w:t>Can identify the signs of a suspected opioid overdose,</w:t>
      </w:r>
    </w:p>
    <w:p w14:paraId="6A259DA8" w14:textId="69276543" w:rsidR="002653BB" w:rsidRDefault="002653BB" w:rsidP="00F16A1B">
      <w:pPr>
        <w:pStyle w:val="ListParagraph"/>
        <w:numPr>
          <w:ilvl w:val="0"/>
          <w:numId w:val="61"/>
        </w:numPr>
        <w:suppressAutoHyphens w:val="0"/>
        <w:jc w:val="left"/>
        <w:rPr>
          <w:rFonts w:cs="Arial"/>
          <w:sz w:val="22"/>
          <w:szCs w:val="22"/>
        </w:rPr>
      </w:pPr>
      <w:r>
        <w:rPr>
          <w:rFonts w:cs="Arial"/>
          <w:sz w:val="22"/>
          <w:szCs w:val="22"/>
        </w:rPr>
        <w:t>Understands actions to take if witnessing a suspected overdose,</w:t>
      </w:r>
    </w:p>
    <w:p w14:paraId="63DE0E6A" w14:textId="20632FA8" w:rsidR="000D7FAC" w:rsidRPr="00212C6B" w:rsidRDefault="002653BB" w:rsidP="00F16A1B">
      <w:pPr>
        <w:pStyle w:val="ListParagraph"/>
        <w:numPr>
          <w:ilvl w:val="0"/>
          <w:numId w:val="61"/>
        </w:numPr>
        <w:suppressAutoHyphens w:val="0"/>
        <w:jc w:val="left"/>
        <w:rPr>
          <w:rFonts w:cs="Arial"/>
          <w:sz w:val="22"/>
          <w:szCs w:val="22"/>
        </w:rPr>
      </w:pPr>
      <w:r>
        <w:rPr>
          <w:rFonts w:cs="Arial"/>
          <w:sz w:val="22"/>
          <w:szCs w:val="22"/>
        </w:rPr>
        <w:t>Knows how to administer the take-home naloxone kit provided</w:t>
      </w:r>
      <w:r w:rsidR="00712758">
        <w:rPr>
          <w:rFonts w:cs="Arial"/>
          <w:sz w:val="22"/>
          <w:szCs w:val="22"/>
        </w:rPr>
        <w:t>,</w:t>
      </w:r>
      <w:r w:rsidR="000D7FAC">
        <w:rPr>
          <w:rFonts w:cs="Arial"/>
          <w:sz w:val="22"/>
          <w:szCs w:val="22"/>
        </w:rPr>
        <w:t xml:space="preserve"> including when to administer a</w:t>
      </w:r>
      <w:r w:rsidR="00F16A1B">
        <w:rPr>
          <w:rFonts w:cs="Arial"/>
          <w:sz w:val="22"/>
          <w:szCs w:val="22"/>
        </w:rPr>
        <w:t>nother</w:t>
      </w:r>
      <w:r w:rsidR="000D7FAC">
        <w:rPr>
          <w:rFonts w:cs="Arial"/>
          <w:sz w:val="22"/>
          <w:szCs w:val="22"/>
        </w:rPr>
        <w:t xml:space="preserve"> dose if no improvement</w:t>
      </w:r>
      <w:r w:rsidR="0042301C">
        <w:rPr>
          <w:rFonts w:cs="Arial"/>
          <w:sz w:val="22"/>
          <w:szCs w:val="22"/>
        </w:rPr>
        <w:t>,</w:t>
      </w:r>
      <w:r w:rsidR="000D7FAC">
        <w:rPr>
          <w:rFonts w:cs="Arial"/>
          <w:sz w:val="22"/>
          <w:szCs w:val="22"/>
        </w:rPr>
        <w:t xml:space="preserve"> and the importance of staying with the person until the ambulance arrives</w:t>
      </w:r>
      <w:r>
        <w:rPr>
          <w:rFonts w:cs="Arial"/>
          <w:sz w:val="22"/>
          <w:szCs w:val="22"/>
        </w:rPr>
        <w:t>,</w:t>
      </w:r>
    </w:p>
    <w:p w14:paraId="4345C2BD" w14:textId="77777777" w:rsidR="00712758" w:rsidRDefault="00712758" w:rsidP="00F16A1B">
      <w:pPr>
        <w:pStyle w:val="ListParagraph"/>
        <w:numPr>
          <w:ilvl w:val="0"/>
          <w:numId w:val="61"/>
        </w:numPr>
        <w:suppressAutoHyphens w:val="0"/>
        <w:jc w:val="left"/>
        <w:rPr>
          <w:rFonts w:cs="Arial"/>
          <w:sz w:val="22"/>
          <w:szCs w:val="22"/>
        </w:rPr>
      </w:pPr>
      <w:r>
        <w:rPr>
          <w:rFonts w:cs="Arial"/>
          <w:sz w:val="22"/>
          <w:szCs w:val="22"/>
        </w:rPr>
        <w:t>Knows how to open the take-home naloxone pack and not to do so except for emergency use,</w:t>
      </w:r>
    </w:p>
    <w:p w14:paraId="061E3F72" w14:textId="32A9ADF7" w:rsidR="002653BB" w:rsidRDefault="000D7FAC" w:rsidP="00F16A1B">
      <w:pPr>
        <w:pStyle w:val="ListParagraph"/>
        <w:numPr>
          <w:ilvl w:val="0"/>
          <w:numId w:val="61"/>
        </w:numPr>
        <w:suppressAutoHyphens w:val="0"/>
        <w:jc w:val="left"/>
        <w:rPr>
          <w:rFonts w:cs="Arial"/>
          <w:sz w:val="22"/>
          <w:szCs w:val="22"/>
        </w:rPr>
      </w:pPr>
      <w:r>
        <w:rPr>
          <w:rFonts w:cs="Arial"/>
          <w:sz w:val="22"/>
          <w:szCs w:val="22"/>
        </w:rPr>
        <w:t>Knows about safe storage requirements of the take-home naloxone kit provided,</w:t>
      </w:r>
    </w:p>
    <w:p w14:paraId="3837FC25" w14:textId="10335B91" w:rsidR="000D7FAC" w:rsidRDefault="000D7FAC" w:rsidP="00F16A1B">
      <w:pPr>
        <w:pStyle w:val="ListParagraph"/>
        <w:numPr>
          <w:ilvl w:val="0"/>
          <w:numId w:val="61"/>
        </w:numPr>
        <w:suppressAutoHyphens w:val="0"/>
        <w:jc w:val="left"/>
        <w:rPr>
          <w:rFonts w:cs="Arial"/>
          <w:sz w:val="22"/>
          <w:szCs w:val="22"/>
        </w:rPr>
      </w:pPr>
      <w:r>
        <w:rPr>
          <w:rFonts w:cs="Arial"/>
          <w:sz w:val="22"/>
          <w:szCs w:val="22"/>
        </w:rPr>
        <w:t xml:space="preserve">Notes the expiry date of the </w:t>
      </w:r>
      <w:r w:rsidR="002E7DB1">
        <w:rPr>
          <w:rFonts w:cs="Arial"/>
          <w:sz w:val="22"/>
          <w:szCs w:val="22"/>
        </w:rPr>
        <w:t xml:space="preserve">take-home naloxone </w:t>
      </w:r>
      <w:r>
        <w:rPr>
          <w:rFonts w:cs="Arial"/>
          <w:sz w:val="22"/>
          <w:szCs w:val="22"/>
        </w:rPr>
        <w:t>kit</w:t>
      </w:r>
      <w:r w:rsidR="002E7DB1">
        <w:rPr>
          <w:rFonts w:cs="Arial"/>
          <w:sz w:val="22"/>
          <w:szCs w:val="22"/>
        </w:rPr>
        <w:t>,</w:t>
      </w:r>
      <w:r>
        <w:rPr>
          <w:rFonts w:cs="Arial"/>
          <w:sz w:val="22"/>
          <w:szCs w:val="22"/>
        </w:rPr>
        <w:t xml:space="preserve"> knows how to dispose of expired/used </w:t>
      </w:r>
      <w:r w:rsidR="002E7DB1">
        <w:rPr>
          <w:rFonts w:cs="Arial"/>
          <w:sz w:val="22"/>
          <w:szCs w:val="22"/>
        </w:rPr>
        <w:t>kit</w:t>
      </w:r>
      <w:r>
        <w:rPr>
          <w:rFonts w:cs="Arial"/>
          <w:sz w:val="22"/>
          <w:szCs w:val="22"/>
        </w:rPr>
        <w:t xml:space="preserve">s and how to </w:t>
      </w:r>
      <w:r w:rsidR="002E7DB1">
        <w:rPr>
          <w:rFonts w:cs="Arial"/>
          <w:sz w:val="22"/>
          <w:szCs w:val="22"/>
        </w:rPr>
        <w:t>get a replacement,</w:t>
      </w:r>
    </w:p>
    <w:p w14:paraId="4AF455CF" w14:textId="03A99B26" w:rsidR="002E7DB1" w:rsidRPr="00212C6B" w:rsidRDefault="002E7DB1" w:rsidP="00F16A1B">
      <w:pPr>
        <w:pStyle w:val="ListParagraph"/>
        <w:numPr>
          <w:ilvl w:val="0"/>
          <w:numId w:val="61"/>
        </w:numPr>
        <w:suppressAutoHyphens w:val="0"/>
        <w:jc w:val="left"/>
        <w:rPr>
          <w:rFonts w:cs="Arial"/>
          <w:sz w:val="22"/>
          <w:szCs w:val="22"/>
        </w:rPr>
      </w:pPr>
      <w:r>
        <w:rPr>
          <w:rFonts w:cs="Arial"/>
          <w:sz w:val="22"/>
          <w:szCs w:val="22"/>
        </w:rPr>
        <w:t>Knows about product recall procedures,</w:t>
      </w:r>
    </w:p>
    <w:p w14:paraId="69CEFE74" w14:textId="54DA33E1" w:rsidR="002653BB" w:rsidRPr="00212C6B" w:rsidRDefault="002E7DB1" w:rsidP="00F16A1B">
      <w:pPr>
        <w:pStyle w:val="ListParagraph"/>
        <w:numPr>
          <w:ilvl w:val="0"/>
          <w:numId w:val="61"/>
        </w:numPr>
        <w:suppressAutoHyphens w:val="0"/>
        <w:jc w:val="left"/>
        <w:rPr>
          <w:rFonts w:cs="Arial"/>
          <w:sz w:val="22"/>
          <w:szCs w:val="22"/>
        </w:rPr>
      </w:pPr>
      <w:r>
        <w:rPr>
          <w:rFonts w:cs="Arial"/>
          <w:sz w:val="22"/>
          <w:szCs w:val="22"/>
        </w:rPr>
        <w:t>Has access to information leaflets/resources.</w:t>
      </w:r>
    </w:p>
    <w:p w14:paraId="0C365D33" w14:textId="77777777" w:rsidR="00A47C47" w:rsidRPr="00212C6B" w:rsidRDefault="00A47C47" w:rsidP="00212C6B">
      <w:pPr>
        <w:suppressAutoHyphens w:val="0"/>
        <w:rPr>
          <w:rFonts w:cs="Arial"/>
          <w:b/>
          <w:bCs/>
          <w:sz w:val="22"/>
          <w:szCs w:val="22"/>
        </w:rPr>
      </w:pPr>
    </w:p>
    <w:sectPr w:rsidR="00A47C47" w:rsidRPr="00212C6B" w:rsidSect="003923F8">
      <w:headerReference w:type="default" r:id="rId24"/>
      <w:footerReference w:type="default" r:id="rId25"/>
      <w:pgSz w:w="11906" w:h="16838"/>
      <w:pgMar w:top="851" w:right="1440" w:bottom="1440" w:left="993"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80B3D" w14:textId="77777777" w:rsidR="001D7C07" w:rsidRDefault="001D7C07" w:rsidP="00A9206D">
      <w:r>
        <w:separator/>
      </w:r>
    </w:p>
  </w:endnote>
  <w:endnote w:type="continuationSeparator" w:id="0">
    <w:p w14:paraId="13664BA2" w14:textId="77777777" w:rsidR="001D7C07" w:rsidRDefault="001D7C07" w:rsidP="00A9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5152" w14:textId="77777777" w:rsidR="00504FDE" w:rsidRDefault="00D3462A" w:rsidP="000B6834">
    <w:pPr>
      <w:pStyle w:val="Footer"/>
      <w:jc w:val="right"/>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FE695" w14:textId="77777777" w:rsidR="001D7C07" w:rsidRDefault="001D7C07" w:rsidP="00A9206D">
      <w:r>
        <w:separator/>
      </w:r>
    </w:p>
  </w:footnote>
  <w:footnote w:type="continuationSeparator" w:id="0">
    <w:p w14:paraId="615D316B" w14:textId="77777777" w:rsidR="001D7C07" w:rsidRDefault="001D7C07" w:rsidP="00A9206D">
      <w:r>
        <w:continuationSeparator/>
      </w:r>
    </w:p>
  </w:footnote>
  <w:footnote w:id="1">
    <w:p w14:paraId="567E8148" w14:textId="0529F40D" w:rsidR="002D49A4" w:rsidRPr="00CE1695" w:rsidRDefault="002D49A4" w:rsidP="002D49A4">
      <w:pPr>
        <w:pStyle w:val="FootnoteText"/>
        <w:rPr>
          <w:sz w:val="16"/>
          <w:szCs w:val="16"/>
        </w:rPr>
      </w:pPr>
      <w:r w:rsidRPr="00CE1695">
        <w:rPr>
          <w:rStyle w:val="FootnoteReference"/>
          <w:sz w:val="16"/>
          <w:szCs w:val="16"/>
        </w:rPr>
        <w:footnoteRef/>
      </w:r>
      <w:r w:rsidRPr="00CE1695">
        <w:rPr>
          <w:sz w:val="16"/>
          <w:szCs w:val="16"/>
        </w:rPr>
        <w:t xml:space="preserve"> </w:t>
      </w:r>
      <w:hyperlink r:id="rId1" w:history="1">
        <w:r w:rsidR="00CD5527" w:rsidRPr="00CE1695">
          <w:rPr>
            <w:rStyle w:val="Hyperlink"/>
            <w:rFonts w:cs="Arial"/>
            <w:sz w:val="16"/>
            <w:szCs w:val="16"/>
          </w:rPr>
          <w:t>Deaths related to drug poisoning in England and Wales - Office for National Statistics (ons.gov.uk)</w:t>
        </w:r>
      </w:hyperlink>
    </w:p>
  </w:footnote>
  <w:footnote w:id="2">
    <w:p w14:paraId="2B8B96B6" w14:textId="35845583" w:rsidR="004700BF" w:rsidRDefault="002D49A4">
      <w:pPr>
        <w:pStyle w:val="FootnoteText"/>
      </w:pPr>
      <w:r w:rsidRPr="00CE1695">
        <w:rPr>
          <w:rStyle w:val="FootnoteReference"/>
          <w:sz w:val="16"/>
          <w:szCs w:val="16"/>
        </w:rPr>
        <w:footnoteRef/>
      </w:r>
      <w:r w:rsidRPr="00CE1695">
        <w:rPr>
          <w:sz w:val="16"/>
          <w:szCs w:val="16"/>
        </w:rPr>
        <w:t xml:space="preserve"> </w:t>
      </w:r>
      <w:hyperlink r:id="rId2" w:history="1">
        <w:r w:rsidR="004700BF" w:rsidRPr="00CE1695">
          <w:rPr>
            <w:rStyle w:val="Hyperlink"/>
            <w:rFonts w:cs="Arial"/>
            <w:sz w:val="16"/>
            <w:szCs w:val="16"/>
          </w:rPr>
          <w:t>https://www.gov.uk/government/publications/naloxone-a-review</w:t>
        </w:r>
      </w:hyperlink>
      <w:r w:rsidR="004700BF">
        <w:t xml:space="preserve"> </w:t>
      </w:r>
    </w:p>
  </w:footnote>
  <w:footnote w:id="3">
    <w:p w14:paraId="5A110336" w14:textId="5DF4799F" w:rsidR="00CE1695" w:rsidRDefault="00CE1695">
      <w:pPr>
        <w:pStyle w:val="FootnoteText"/>
      </w:pPr>
      <w:r>
        <w:rPr>
          <w:rStyle w:val="FootnoteReference"/>
        </w:rPr>
        <w:footnoteRef/>
      </w:r>
      <w:r>
        <w:t xml:space="preserve"> </w:t>
      </w:r>
      <w:hyperlink r:id="rId3" w:history="1">
        <w:r w:rsidRPr="000C1DAB">
          <w:rPr>
            <w:rStyle w:val="Hyperlink"/>
            <w:rFonts w:cs="Arial"/>
            <w:sz w:val="16"/>
            <w:szCs w:val="16"/>
          </w:rPr>
          <w:t>https://assets.publishing.service.gov.uk/government/uploads/system/uploads/attachment_data/file/669475/phetake-homenaloxoneforopioidoverdoseaug2017.pdf</w:t>
        </w:r>
      </w:hyperlink>
      <w:r>
        <w:t xml:space="preserve"> </w:t>
      </w:r>
    </w:p>
  </w:footnote>
  <w:footnote w:id="4">
    <w:p w14:paraId="33F773CE" w14:textId="77777777" w:rsidR="00A117F5" w:rsidRPr="00CE1695" w:rsidRDefault="00A117F5" w:rsidP="00A117F5">
      <w:pPr>
        <w:pStyle w:val="FootnoteText"/>
        <w:rPr>
          <w:sz w:val="16"/>
          <w:szCs w:val="16"/>
        </w:rPr>
      </w:pPr>
      <w:r w:rsidRPr="00CE1695">
        <w:rPr>
          <w:rStyle w:val="FootnoteReference"/>
          <w:sz w:val="16"/>
          <w:szCs w:val="16"/>
        </w:rPr>
        <w:footnoteRef/>
      </w:r>
      <w:r w:rsidRPr="00CE1695">
        <w:rPr>
          <w:sz w:val="16"/>
          <w:szCs w:val="16"/>
        </w:rPr>
        <w:t xml:space="preserve"> </w:t>
      </w:r>
      <w:hyperlink r:id="rId4" w:anchor="appendix-e--written-submissions" w:history="1">
        <w:r w:rsidRPr="00526215">
          <w:rPr>
            <w:rStyle w:val="Hyperlink"/>
            <w:sz w:val="16"/>
            <w:szCs w:val="16"/>
          </w:rPr>
          <w:t>ACMD review of the UK naloxone implementation (accessible) - GOV.UK (www.gov.uk)</w:t>
        </w:r>
      </w:hyperlink>
    </w:p>
  </w:footnote>
  <w:footnote w:id="5">
    <w:p w14:paraId="09505E8B" w14:textId="30579865" w:rsidR="00576947" w:rsidRPr="00CE1695" w:rsidRDefault="00576947">
      <w:pPr>
        <w:pStyle w:val="FootnoteText"/>
        <w:rPr>
          <w:sz w:val="16"/>
          <w:szCs w:val="16"/>
        </w:rPr>
      </w:pPr>
      <w:r w:rsidRPr="00CE1695">
        <w:rPr>
          <w:rStyle w:val="FootnoteReference"/>
          <w:sz w:val="16"/>
          <w:szCs w:val="16"/>
        </w:rPr>
        <w:footnoteRef/>
      </w:r>
      <w:r w:rsidRPr="00CE1695">
        <w:rPr>
          <w:sz w:val="16"/>
          <w:szCs w:val="16"/>
        </w:rPr>
        <w:t xml:space="preserve"> </w:t>
      </w:r>
      <w:hyperlink r:id="rId5" w:history="1">
        <w:r w:rsidRPr="00CE1695">
          <w:rPr>
            <w:rStyle w:val="Hyperlink"/>
            <w:rFonts w:cs="Arial"/>
            <w:sz w:val="16"/>
            <w:szCs w:val="16"/>
          </w:rPr>
          <w:t>Widening the availability of naloxone - GOV.UK (www.gov.uk)</w:t>
        </w:r>
      </w:hyperlink>
    </w:p>
  </w:footnote>
  <w:footnote w:id="6">
    <w:p w14:paraId="307310F9" w14:textId="059D624F" w:rsidR="00AC4C16" w:rsidRDefault="00AC4C16">
      <w:pPr>
        <w:pStyle w:val="FootnoteText"/>
      </w:pPr>
      <w:r w:rsidRPr="00CE1695">
        <w:rPr>
          <w:rStyle w:val="FootnoteReference"/>
          <w:sz w:val="16"/>
          <w:szCs w:val="16"/>
        </w:rPr>
        <w:footnoteRef/>
      </w:r>
      <w:r w:rsidRPr="00CE1695">
        <w:rPr>
          <w:sz w:val="16"/>
          <w:szCs w:val="16"/>
        </w:rPr>
        <w:t xml:space="preserve"> </w:t>
      </w:r>
      <w:hyperlink r:id="rId6" w:history="1">
        <w:r w:rsidRPr="00CE1695">
          <w:rPr>
            <w:rStyle w:val="Hyperlink"/>
            <w:rFonts w:cs="Arial"/>
            <w:sz w:val="16"/>
            <w:szCs w:val="16"/>
          </w:rPr>
          <w:t>https://www.gov.uk/government/publications/acmd-naloxone-review/acmd-review-of-the-uk-naloxone-implementation-accessible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6123" w14:textId="77777777" w:rsidR="00504FDE" w:rsidRDefault="00504FDE" w:rsidP="00A25503">
    <w:pPr>
      <w:tabs>
        <w:tab w:val="center" w:pos="4320"/>
        <w:tab w:val="right" w:pos="8640"/>
      </w:tabs>
      <w:jc w:val="center"/>
      <w:rPr>
        <w:b/>
        <w:bCs/>
        <w:sz w:val="10"/>
        <w:szCs w:val="10"/>
      </w:rPr>
    </w:pPr>
  </w:p>
  <w:p w14:paraId="5C5A5F12" w14:textId="77777777" w:rsidR="00504FDE" w:rsidRDefault="00504FDE" w:rsidP="00A25503">
    <w:pPr>
      <w:tabs>
        <w:tab w:val="center" w:pos="4320"/>
        <w:tab w:val="right" w:pos="8640"/>
      </w:tabs>
      <w:jc w:val="center"/>
      <w:rPr>
        <w:b/>
        <w:bCs/>
        <w:sz w:val="10"/>
        <w:szCs w:val="10"/>
      </w:rPr>
    </w:pPr>
  </w:p>
  <w:p w14:paraId="11FE09FD" w14:textId="77777777" w:rsidR="00504FDE" w:rsidRPr="00A25503" w:rsidRDefault="00504FDE" w:rsidP="00A25503">
    <w:pPr>
      <w:tabs>
        <w:tab w:val="center" w:pos="4320"/>
        <w:tab w:val="right" w:pos="8640"/>
      </w:tabs>
      <w:jc w:val="center"/>
      <w:rPr>
        <w:b/>
        <w:bCs/>
        <w:sz w:val="10"/>
        <w:szCs w:val="10"/>
      </w:rPr>
    </w:pPr>
  </w:p>
  <w:p w14:paraId="59D1D738" w14:textId="77777777" w:rsidR="00504FDE" w:rsidRDefault="00504FDE">
    <w:pPr>
      <w:pStyle w:val="Header"/>
    </w:pPr>
  </w:p>
  <w:p w14:paraId="623A74E8" w14:textId="77777777" w:rsidR="00504FDE" w:rsidRDefault="0050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6FE1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3F9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7EE1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0273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20B8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E56995"/>
    <w:multiLevelType w:val="hybridMultilevel"/>
    <w:tmpl w:val="B1C8C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2040993"/>
    <w:multiLevelType w:val="hybridMultilevel"/>
    <w:tmpl w:val="203A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554EB36">
      <w:numFmt w:val="bullet"/>
      <w:lvlText w:val="•"/>
      <w:lvlJc w:val="left"/>
      <w:pPr>
        <w:ind w:left="2520" w:hanging="72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F51707"/>
    <w:multiLevelType w:val="hybridMultilevel"/>
    <w:tmpl w:val="3B44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1A1C8F"/>
    <w:multiLevelType w:val="hybridMultilevel"/>
    <w:tmpl w:val="4232CC92"/>
    <w:lvl w:ilvl="0" w:tplc="E8467FE6">
      <w:start w:val="2"/>
      <w:numFmt w:val="decimal"/>
      <w:lvlText w:val="%1."/>
      <w:lvlJc w:val="left"/>
      <w:pPr>
        <w:ind w:left="360" w:hanging="360"/>
      </w:pPr>
      <w:rPr>
        <w:rFonts w:eastAsia="Times New Roman"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D2083D"/>
    <w:multiLevelType w:val="hybridMultilevel"/>
    <w:tmpl w:val="8170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D4C56"/>
    <w:multiLevelType w:val="hybridMultilevel"/>
    <w:tmpl w:val="AA52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67A1F"/>
    <w:multiLevelType w:val="multilevel"/>
    <w:tmpl w:val="2F2066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C665A0"/>
    <w:multiLevelType w:val="hybridMultilevel"/>
    <w:tmpl w:val="0E62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3348B2"/>
    <w:multiLevelType w:val="multilevel"/>
    <w:tmpl w:val="34D8C55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B8006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AE5DC2"/>
    <w:multiLevelType w:val="hybridMultilevel"/>
    <w:tmpl w:val="5422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EA1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9D7D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1F2719C"/>
    <w:multiLevelType w:val="multilevel"/>
    <w:tmpl w:val="5C7ECB90"/>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23B74D21"/>
    <w:multiLevelType w:val="hybridMultilevel"/>
    <w:tmpl w:val="957072C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7C15584"/>
    <w:multiLevelType w:val="hybridMultilevel"/>
    <w:tmpl w:val="3482C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015CFE"/>
    <w:multiLevelType w:val="hybridMultilevel"/>
    <w:tmpl w:val="1EC837DC"/>
    <w:lvl w:ilvl="0" w:tplc="7FE049A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4B48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1D3D46"/>
    <w:multiLevelType w:val="hybridMultilevel"/>
    <w:tmpl w:val="767A930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FEA45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01B43C8"/>
    <w:multiLevelType w:val="multilevel"/>
    <w:tmpl w:val="25C694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A94AE2"/>
    <w:multiLevelType w:val="hybridMultilevel"/>
    <w:tmpl w:val="0D8C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0666C"/>
    <w:multiLevelType w:val="hybridMultilevel"/>
    <w:tmpl w:val="14D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F20BDC"/>
    <w:multiLevelType w:val="hybridMultilevel"/>
    <w:tmpl w:val="7328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A4670D"/>
    <w:multiLevelType w:val="multilevel"/>
    <w:tmpl w:val="C0BC89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7828E0"/>
    <w:multiLevelType w:val="hybridMultilevel"/>
    <w:tmpl w:val="BF24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E02F59"/>
    <w:multiLevelType w:val="hybridMultilevel"/>
    <w:tmpl w:val="5EF6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FB27F9"/>
    <w:multiLevelType w:val="hybridMultilevel"/>
    <w:tmpl w:val="0366A014"/>
    <w:lvl w:ilvl="0" w:tplc="A04289C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AE7747"/>
    <w:multiLevelType w:val="hybridMultilevel"/>
    <w:tmpl w:val="49F4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BB3742"/>
    <w:multiLevelType w:val="hybridMultilevel"/>
    <w:tmpl w:val="F29E40BE"/>
    <w:lvl w:ilvl="0" w:tplc="19D08988">
      <w:start w:val="1"/>
      <w:numFmt w:val="bullet"/>
      <w:lvlText w:val=""/>
      <w:lvlJc w:val="left"/>
      <w:pPr>
        <w:ind w:left="1596" w:hanging="360"/>
      </w:pPr>
      <w:rPr>
        <w:rFonts w:ascii="Symbol" w:hAnsi="Symbol" w:hint="default"/>
        <w:color w:val="000000" w:themeColor="text1"/>
      </w:rPr>
    </w:lvl>
    <w:lvl w:ilvl="1" w:tplc="08090001">
      <w:start w:val="1"/>
      <w:numFmt w:val="bullet"/>
      <w:lvlText w:val=""/>
      <w:lvlJc w:val="left"/>
      <w:pPr>
        <w:ind w:left="2316" w:hanging="360"/>
      </w:pPr>
      <w:rPr>
        <w:rFonts w:ascii="Symbol" w:hAnsi="Symbol" w:hint="default"/>
      </w:rPr>
    </w:lvl>
    <w:lvl w:ilvl="2" w:tplc="08090005">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35" w15:restartNumberingAfterBreak="0">
    <w:nsid w:val="49702216"/>
    <w:multiLevelType w:val="hybridMultilevel"/>
    <w:tmpl w:val="786C3D78"/>
    <w:lvl w:ilvl="0" w:tplc="8FA6721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8C41EF"/>
    <w:multiLevelType w:val="multilevel"/>
    <w:tmpl w:val="4760A4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8442F8"/>
    <w:multiLevelType w:val="hybridMultilevel"/>
    <w:tmpl w:val="D21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9F5690"/>
    <w:multiLevelType w:val="hybridMultilevel"/>
    <w:tmpl w:val="1236F6E6"/>
    <w:lvl w:ilvl="0" w:tplc="08090003">
      <w:start w:val="1"/>
      <w:numFmt w:val="bullet"/>
      <w:lvlText w:val="o"/>
      <w:lvlJc w:val="left"/>
      <w:pPr>
        <w:ind w:left="2076" w:hanging="360"/>
      </w:pPr>
      <w:rPr>
        <w:rFonts w:ascii="Courier New" w:hAnsi="Courier New" w:cs="Courier New" w:hint="default"/>
      </w:rPr>
    </w:lvl>
    <w:lvl w:ilvl="1" w:tplc="08090001">
      <w:start w:val="1"/>
      <w:numFmt w:val="bullet"/>
      <w:lvlText w:val=""/>
      <w:lvlJc w:val="left"/>
      <w:pPr>
        <w:ind w:left="2796" w:hanging="360"/>
      </w:pPr>
      <w:rPr>
        <w:rFonts w:ascii="Symbol" w:hAnsi="Symbol" w:hint="default"/>
      </w:rPr>
    </w:lvl>
    <w:lvl w:ilvl="2" w:tplc="08090005">
      <w:start w:val="1"/>
      <w:numFmt w:val="bullet"/>
      <w:lvlText w:val=""/>
      <w:lvlJc w:val="left"/>
      <w:pPr>
        <w:ind w:left="3516" w:hanging="360"/>
      </w:pPr>
      <w:rPr>
        <w:rFonts w:ascii="Wingdings" w:hAnsi="Wingdings" w:hint="default"/>
      </w:rPr>
    </w:lvl>
    <w:lvl w:ilvl="3" w:tplc="08090001" w:tentative="1">
      <w:start w:val="1"/>
      <w:numFmt w:val="bullet"/>
      <w:lvlText w:val=""/>
      <w:lvlJc w:val="left"/>
      <w:pPr>
        <w:ind w:left="4236" w:hanging="360"/>
      </w:pPr>
      <w:rPr>
        <w:rFonts w:ascii="Symbol" w:hAnsi="Symbol" w:hint="default"/>
      </w:rPr>
    </w:lvl>
    <w:lvl w:ilvl="4" w:tplc="08090003" w:tentative="1">
      <w:start w:val="1"/>
      <w:numFmt w:val="bullet"/>
      <w:lvlText w:val="o"/>
      <w:lvlJc w:val="left"/>
      <w:pPr>
        <w:ind w:left="4956" w:hanging="360"/>
      </w:pPr>
      <w:rPr>
        <w:rFonts w:ascii="Courier New" w:hAnsi="Courier New" w:cs="Courier New" w:hint="default"/>
      </w:rPr>
    </w:lvl>
    <w:lvl w:ilvl="5" w:tplc="08090005" w:tentative="1">
      <w:start w:val="1"/>
      <w:numFmt w:val="bullet"/>
      <w:lvlText w:val=""/>
      <w:lvlJc w:val="left"/>
      <w:pPr>
        <w:ind w:left="5676" w:hanging="360"/>
      </w:pPr>
      <w:rPr>
        <w:rFonts w:ascii="Wingdings" w:hAnsi="Wingdings" w:hint="default"/>
      </w:rPr>
    </w:lvl>
    <w:lvl w:ilvl="6" w:tplc="08090001" w:tentative="1">
      <w:start w:val="1"/>
      <w:numFmt w:val="bullet"/>
      <w:lvlText w:val=""/>
      <w:lvlJc w:val="left"/>
      <w:pPr>
        <w:ind w:left="6396" w:hanging="360"/>
      </w:pPr>
      <w:rPr>
        <w:rFonts w:ascii="Symbol" w:hAnsi="Symbol" w:hint="default"/>
      </w:rPr>
    </w:lvl>
    <w:lvl w:ilvl="7" w:tplc="08090003" w:tentative="1">
      <w:start w:val="1"/>
      <w:numFmt w:val="bullet"/>
      <w:lvlText w:val="o"/>
      <w:lvlJc w:val="left"/>
      <w:pPr>
        <w:ind w:left="7116" w:hanging="360"/>
      </w:pPr>
      <w:rPr>
        <w:rFonts w:ascii="Courier New" w:hAnsi="Courier New" w:cs="Courier New" w:hint="default"/>
      </w:rPr>
    </w:lvl>
    <w:lvl w:ilvl="8" w:tplc="08090005" w:tentative="1">
      <w:start w:val="1"/>
      <w:numFmt w:val="bullet"/>
      <w:lvlText w:val=""/>
      <w:lvlJc w:val="left"/>
      <w:pPr>
        <w:ind w:left="7836" w:hanging="360"/>
      </w:pPr>
      <w:rPr>
        <w:rFonts w:ascii="Wingdings" w:hAnsi="Wingdings" w:hint="default"/>
      </w:rPr>
    </w:lvl>
  </w:abstractNum>
  <w:abstractNum w:abstractNumId="39" w15:restartNumberingAfterBreak="0">
    <w:nsid w:val="4EED25F0"/>
    <w:multiLevelType w:val="hybridMultilevel"/>
    <w:tmpl w:val="4808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CC9A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80979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BA5125D"/>
    <w:multiLevelType w:val="hybridMultilevel"/>
    <w:tmpl w:val="6390FC64"/>
    <w:lvl w:ilvl="0" w:tplc="0809000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CA9022B"/>
    <w:multiLevelType w:val="hybridMultilevel"/>
    <w:tmpl w:val="C80E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333310"/>
    <w:multiLevelType w:val="hybridMultilevel"/>
    <w:tmpl w:val="8BBC2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83365"/>
    <w:multiLevelType w:val="hybridMultilevel"/>
    <w:tmpl w:val="C904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562BCB"/>
    <w:multiLevelType w:val="hybridMultilevel"/>
    <w:tmpl w:val="B37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FA6862"/>
    <w:multiLevelType w:val="hybridMultilevel"/>
    <w:tmpl w:val="6690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D952AB"/>
    <w:multiLevelType w:val="hybridMultilevel"/>
    <w:tmpl w:val="F6C6BDE6"/>
    <w:lvl w:ilvl="0" w:tplc="62385E9E">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DC27F4E"/>
    <w:multiLevelType w:val="hybridMultilevel"/>
    <w:tmpl w:val="B52A8598"/>
    <w:lvl w:ilvl="0" w:tplc="61FEBFE8">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E870346"/>
    <w:multiLevelType w:val="hybridMultilevel"/>
    <w:tmpl w:val="C5280EB4"/>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F2B1B4D"/>
    <w:multiLevelType w:val="hybridMultilevel"/>
    <w:tmpl w:val="F762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1437820"/>
    <w:multiLevelType w:val="hybridMultilevel"/>
    <w:tmpl w:val="C8D2987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4E954A1"/>
    <w:multiLevelType w:val="hybridMultilevel"/>
    <w:tmpl w:val="CBB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934CF7"/>
    <w:multiLevelType w:val="hybridMultilevel"/>
    <w:tmpl w:val="700CEE1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5D5EC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63B7D98"/>
    <w:multiLevelType w:val="multilevel"/>
    <w:tmpl w:val="E84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B425BD"/>
    <w:multiLevelType w:val="hybridMultilevel"/>
    <w:tmpl w:val="DFDC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094EA8"/>
    <w:multiLevelType w:val="hybridMultilevel"/>
    <w:tmpl w:val="B0FE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1F38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FEE1D17"/>
    <w:multiLevelType w:val="multilevel"/>
    <w:tmpl w:val="7264D154"/>
    <w:lvl w:ilvl="0">
      <w:start w:val="1"/>
      <w:numFmt w:val="bullet"/>
      <w:lvlText w:val=""/>
      <w:lvlJc w:val="left"/>
      <w:pPr>
        <w:ind w:left="360" w:hanging="360"/>
      </w:pPr>
      <w:rPr>
        <w:rFonts w:ascii="Symbol" w:hAnsi="Symbol"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5634915">
    <w:abstractNumId w:val="32"/>
  </w:num>
  <w:num w:numId="2" w16cid:durableId="1555041287">
    <w:abstractNumId w:val="39"/>
  </w:num>
  <w:num w:numId="3" w16cid:durableId="553469846">
    <w:abstractNumId w:val="60"/>
  </w:num>
  <w:num w:numId="4" w16cid:durableId="157773371">
    <w:abstractNumId w:val="33"/>
  </w:num>
  <w:num w:numId="5" w16cid:durableId="373115468">
    <w:abstractNumId w:val="47"/>
  </w:num>
  <w:num w:numId="6" w16cid:durableId="160581708">
    <w:abstractNumId w:val="13"/>
  </w:num>
  <w:num w:numId="7" w16cid:durableId="1333685204">
    <w:abstractNumId w:val="29"/>
  </w:num>
  <w:num w:numId="8" w16cid:durableId="899168660">
    <w:abstractNumId w:val="10"/>
  </w:num>
  <w:num w:numId="9" w16cid:durableId="730544957">
    <w:abstractNumId w:val="43"/>
  </w:num>
  <w:num w:numId="10" w16cid:durableId="485052112">
    <w:abstractNumId w:val="31"/>
  </w:num>
  <w:num w:numId="11" w16cid:durableId="1260917015">
    <w:abstractNumId w:val="21"/>
  </w:num>
  <w:num w:numId="12" w16cid:durableId="355929868">
    <w:abstractNumId w:val="8"/>
  </w:num>
  <w:num w:numId="13" w16cid:durableId="2094861420">
    <w:abstractNumId w:val="18"/>
  </w:num>
  <w:num w:numId="14" w16cid:durableId="1952279965">
    <w:abstractNumId w:val="44"/>
  </w:num>
  <w:num w:numId="15" w16cid:durableId="944731165">
    <w:abstractNumId w:val="34"/>
  </w:num>
  <w:num w:numId="16" w16cid:durableId="600383974">
    <w:abstractNumId w:val="38"/>
  </w:num>
  <w:num w:numId="17" w16cid:durableId="756168979">
    <w:abstractNumId w:val="59"/>
  </w:num>
  <w:num w:numId="18" w16cid:durableId="1203328673">
    <w:abstractNumId w:val="24"/>
  </w:num>
  <w:num w:numId="19" w16cid:durableId="668023641">
    <w:abstractNumId w:val="16"/>
  </w:num>
  <w:num w:numId="20" w16cid:durableId="2038431880">
    <w:abstractNumId w:val="22"/>
  </w:num>
  <w:num w:numId="21" w16cid:durableId="419640091">
    <w:abstractNumId w:val="2"/>
  </w:num>
  <w:num w:numId="22" w16cid:durableId="1328509362">
    <w:abstractNumId w:val="4"/>
  </w:num>
  <w:num w:numId="23" w16cid:durableId="2131586939">
    <w:abstractNumId w:val="3"/>
  </w:num>
  <w:num w:numId="24" w16cid:durableId="263809639">
    <w:abstractNumId w:val="0"/>
  </w:num>
  <w:num w:numId="25" w16cid:durableId="926768401">
    <w:abstractNumId w:val="41"/>
  </w:num>
  <w:num w:numId="26" w16cid:durableId="939263883">
    <w:abstractNumId w:val="14"/>
  </w:num>
  <w:num w:numId="27" w16cid:durableId="226697199">
    <w:abstractNumId w:val="40"/>
  </w:num>
  <w:num w:numId="28" w16cid:durableId="1512143637">
    <w:abstractNumId w:val="17"/>
  </w:num>
  <w:num w:numId="29" w16cid:durableId="910431838">
    <w:abstractNumId w:val="55"/>
  </w:num>
  <w:num w:numId="30" w16cid:durableId="1110971107">
    <w:abstractNumId w:val="1"/>
  </w:num>
  <w:num w:numId="31" w16cid:durableId="1134369736">
    <w:abstractNumId w:val="20"/>
  </w:num>
  <w:num w:numId="32" w16cid:durableId="750811186">
    <w:abstractNumId w:val="53"/>
  </w:num>
  <w:num w:numId="33" w16cid:durableId="701398513">
    <w:abstractNumId w:val="46"/>
  </w:num>
  <w:num w:numId="34" w16cid:durableId="31420420">
    <w:abstractNumId w:val="37"/>
  </w:num>
  <w:num w:numId="35" w16cid:durableId="290282871">
    <w:abstractNumId w:val="6"/>
  </w:num>
  <w:num w:numId="36" w16cid:durableId="1532456126">
    <w:abstractNumId w:val="9"/>
  </w:num>
  <w:num w:numId="37" w16cid:durableId="508298254">
    <w:abstractNumId w:val="26"/>
  </w:num>
  <w:num w:numId="38" w16cid:durableId="1656254187">
    <w:abstractNumId w:val="7"/>
  </w:num>
  <w:num w:numId="39" w16cid:durableId="2091925095">
    <w:abstractNumId w:val="48"/>
  </w:num>
  <w:num w:numId="40" w16cid:durableId="1488282826">
    <w:abstractNumId w:val="25"/>
  </w:num>
  <w:num w:numId="41" w16cid:durableId="642779797">
    <w:abstractNumId w:val="49"/>
  </w:num>
  <w:num w:numId="42" w16cid:durableId="967661136">
    <w:abstractNumId w:val="27"/>
  </w:num>
  <w:num w:numId="43" w16cid:durableId="1337148478">
    <w:abstractNumId w:val="28"/>
  </w:num>
  <w:num w:numId="44" w16cid:durableId="1656256770">
    <w:abstractNumId w:val="15"/>
  </w:num>
  <w:num w:numId="45" w16cid:durableId="196936211">
    <w:abstractNumId w:val="30"/>
  </w:num>
  <w:num w:numId="46" w16cid:durableId="2124153188">
    <w:abstractNumId w:val="56"/>
  </w:num>
  <w:num w:numId="47" w16cid:durableId="377239667">
    <w:abstractNumId w:val="42"/>
  </w:num>
  <w:num w:numId="48" w16cid:durableId="54856807">
    <w:abstractNumId w:val="50"/>
  </w:num>
  <w:num w:numId="49" w16cid:durableId="2054695043">
    <w:abstractNumId w:val="57"/>
  </w:num>
  <w:num w:numId="50" w16cid:durableId="1974403373">
    <w:abstractNumId w:val="11"/>
  </w:num>
  <w:num w:numId="51" w16cid:durableId="2005819848">
    <w:abstractNumId w:val="36"/>
  </w:num>
  <w:num w:numId="52" w16cid:durableId="1188179059">
    <w:abstractNumId w:val="58"/>
  </w:num>
  <w:num w:numId="53" w16cid:durableId="1783767230">
    <w:abstractNumId w:val="45"/>
  </w:num>
  <w:num w:numId="54" w16cid:durableId="1780249094">
    <w:abstractNumId w:val="12"/>
  </w:num>
  <w:num w:numId="55" w16cid:durableId="771127685">
    <w:abstractNumId w:val="35"/>
  </w:num>
  <w:num w:numId="56" w16cid:durableId="894051659">
    <w:abstractNumId w:val="52"/>
  </w:num>
  <w:num w:numId="57" w16cid:durableId="16737926">
    <w:abstractNumId w:val="51"/>
  </w:num>
  <w:num w:numId="58" w16cid:durableId="1376194779">
    <w:abstractNumId w:val="5"/>
  </w:num>
  <w:num w:numId="59" w16cid:durableId="1924530290">
    <w:abstractNumId w:val="19"/>
  </w:num>
  <w:num w:numId="60" w16cid:durableId="473063515">
    <w:abstractNumId w:val="23"/>
  </w:num>
  <w:num w:numId="61" w16cid:durableId="1581719031">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6D"/>
    <w:rsid w:val="0000052D"/>
    <w:rsid w:val="000152BD"/>
    <w:rsid w:val="000208AA"/>
    <w:rsid w:val="00020F6F"/>
    <w:rsid w:val="000253AF"/>
    <w:rsid w:val="000257B0"/>
    <w:rsid w:val="00026AE0"/>
    <w:rsid w:val="00041D74"/>
    <w:rsid w:val="00064C53"/>
    <w:rsid w:val="00072034"/>
    <w:rsid w:val="00077BD1"/>
    <w:rsid w:val="0008046C"/>
    <w:rsid w:val="00081CD1"/>
    <w:rsid w:val="00083BC4"/>
    <w:rsid w:val="0009072D"/>
    <w:rsid w:val="00096EB2"/>
    <w:rsid w:val="000A0961"/>
    <w:rsid w:val="000B2113"/>
    <w:rsid w:val="000B34D6"/>
    <w:rsid w:val="000B4310"/>
    <w:rsid w:val="000B6828"/>
    <w:rsid w:val="000C05A8"/>
    <w:rsid w:val="000C1DAB"/>
    <w:rsid w:val="000D2D09"/>
    <w:rsid w:val="000D62CF"/>
    <w:rsid w:val="000D7FAC"/>
    <w:rsid w:val="000E1BBA"/>
    <w:rsid w:val="000E3EED"/>
    <w:rsid w:val="000F49D8"/>
    <w:rsid w:val="0010065E"/>
    <w:rsid w:val="0010588F"/>
    <w:rsid w:val="00137B7A"/>
    <w:rsid w:val="00147A80"/>
    <w:rsid w:val="00167B00"/>
    <w:rsid w:val="0017677E"/>
    <w:rsid w:val="00177279"/>
    <w:rsid w:val="00184F1C"/>
    <w:rsid w:val="001A3672"/>
    <w:rsid w:val="001B058A"/>
    <w:rsid w:val="001B2B34"/>
    <w:rsid w:val="001B591F"/>
    <w:rsid w:val="001D7C07"/>
    <w:rsid w:val="001D7EBC"/>
    <w:rsid w:val="001E276F"/>
    <w:rsid w:val="001E767F"/>
    <w:rsid w:val="002039D4"/>
    <w:rsid w:val="00210D86"/>
    <w:rsid w:val="00211C09"/>
    <w:rsid w:val="00212C6B"/>
    <w:rsid w:val="00221063"/>
    <w:rsid w:val="00227461"/>
    <w:rsid w:val="00232F99"/>
    <w:rsid w:val="00235AA2"/>
    <w:rsid w:val="002412AB"/>
    <w:rsid w:val="00254B98"/>
    <w:rsid w:val="00256829"/>
    <w:rsid w:val="00256EB7"/>
    <w:rsid w:val="002653BB"/>
    <w:rsid w:val="00271E99"/>
    <w:rsid w:val="00284E34"/>
    <w:rsid w:val="002859FA"/>
    <w:rsid w:val="002873B7"/>
    <w:rsid w:val="00295264"/>
    <w:rsid w:val="002A27DC"/>
    <w:rsid w:val="002B4EAA"/>
    <w:rsid w:val="002C32DD"/>
    <w:rsid w:val="002D49A4"/>
    <w:rsid w:val="002E6D8C"/>
    <w:rsid w:val="002E7DB1"/>
    <w:rsid w:val="002F087A"/>
    <w:rsid w:val="002F3FE2"/>
    <w:rsid w:val="002F63AA"/>
    <w:rsid w:val="002F6CA3"/>
    <w:rsid w:val="00301AB6"/>
    <w:rsid w:val="0031360E"/>
    <w:rsid w:val="003160F1"/>
    <w:rsid w:val="003309F2"/>
    <w:rsid w:val="003414D9"/>
    <w:rsid w:val="003667BA"/>
    <w:rsid w:val="00367CDD"/>
    <w:rsid w:val="00370100"/>
    <w:rsid w:val="0037106B"/>
    <w:rsid w:val="003726A7"/>
    <w:rsid w:val="003741C4"/>
    <w:rsid w:val="0039191A"/>
    <w:rsid w:val="003923F8"/>
    <w:rsid w:val="0039351F"/>
    <w:rsid w:val="003A357F"/>
    <w:rsid w:val="003A5BE4"/>
    <w:rsid w:val="003B09FE"/>
    <w:rsid w:val="003B2367"/>
    <w:rsid w:val="003B335F"/>
    <w:rsid w:val="003C55DE"/>
    <w:rsid w:val="003D17FD"/>
    <w:rsid w:val="003D3816"/>
    <w:rsid w:val="003D6020"/>
    <w:rsid w:val="003F1381"/>
    <w:rsid w:val="004000D7"/>
    <w:rsid w:val="0040425E"/>
    <w:rsid w:val="004112E5"/>
    <w:rsid w:val="004173E8"/>
    <w:rsid w:val="0042301C"/>
    <w:rsid w:val="00425CC2"/>
    <w:rsid w:val="00431653"/>
    <w:rsid w:val="00435BE9"/>
    <w:rsid w:val="00440872"/>
    <w:rsid w:val="004411AF"/>
    <w:rsid w:val="00450962"/>
    <w:rsid w:val="00461FD9"/>
    <w:rsid w:val="004624E4"/>
    <w:rsid w:val="004657B2"/>
    <w:rsid w:val="004657D5"/>
    <w:rsid w:val="004700BF"/>
    <w:rsid w:val="0047041A"/>
    <w:rsid w:val="00473C34"/>
    <w:rsid w:val="0048515D"/>
    <w:rsid w:val="00492B28"/>
    <w:rsid w:val="004937E9"/>
    <w:rsid w:val="004A17D0"/>
    <w:rsid w:val="004A1932"/>
    <w:rsid w:val="004A4B68"/>
    <w:rsid w:val="004B06C8"/>
    <w:rsid w:val="004C4B67"/>
    <w:rsid w:val="004C4FE1"/>
    <w:rsid w:val="004C5C59"/>
    <w:rsid w:val="00501357"/>
    <w:rsid w:val="00504E43"/>
    <w:rsid w:val="00504FDE"/>
    <w:rsid w:val="00507D72"/>
    <w:rsid w:val="0051514C"/>
    <w:rsid w:val="00517220"/>
    <w:rsid w:val="005241AE"/>
    <w:rsid w:val="00525195"/>
    <w:rsid w:val="00526215"/>
    <w:rsid w:val="00541A3D"/>
    <w:rsid w:val="005502C3"/>
    <w:rsid w:val="00551078"/>
    <w:rsid w:val="00566665"/>
    <w:rsid w:val="00570321"/>
    <w:rsid w:val="00571FCA"/>
    <w:rsid w:val="00573DC0"/>
    <w:rsid w:val="00576947"/>
    <w:rsid w:val="00577B88"/>
    <w:rsid w:val="00586FBC"/>
    <w:rsid w:val="00593D2A"/>
    <w:rsid w:val="005B21D0"/>
    <w:rsid w:val="005C08C9"/>
    <w:rsid w:val="005C1C98"/>
    <w:rsid w:val="005D0E94"/>
    <w:rsid w:val="005F19B2"/>
    <w:rsid w:val="00607E6C"/>
    <w:rsid w:val="0061163E"/>
    <w:rsid w:val="00614011"/>
    <w:rsid w:val="006210D9"/>
    <w:rsid w:val="00632F14"/>
    <w:rsid w:val="00633AA3"/>
    <w:rsid w:val="00642320"/>
    <w:rsid w:val="00655464"/>
    <w:rsid w:val="0066300B"/>
    <w:rsid w:val="00674EEE"/>
    <w:rsid w:val="006809AE"/>
    <w:rsid w:val="00683BA4"/>
    <w:rsid w:val="00694A35"/>
    <w:rsid w:val="006B1B5D"/>
    <w:rsid w:val="006B3C45"/>
    <w:rsid w:val="006C1D7F"/>
    <w:rsid w:val="006C2DDB"/>
    <w:rsid w:val="006C7450"/>
    <w:rsid w:val="006E7AED"/>
    <w:rsid w:val="006F3009"/>
    <w:rsid w:val="006F7664"/>
    <w:rsid w:val="007034AD"/>
    <w:rsid w:val="00706426"/>
    <w:rsid w:val="00712758"/>
    <w:rsid w:val="007207A3"/>
    <w:rsid w:val="007214F0"/>
    <w:rsid w:val="00734C04"/>
    <w:rsid w:val="00747989"/>
    <w:rsid w:val="00781415"/>
    <w:rsid w:val="00784869"/>
    <w:rsid w:val="007908F4"/>
    <w:rsid w:val="007937D9"/>
    <w:rsid w:val="007A4C05"/>
    <w:rsid w:val="007A7267"/>
    <w:rsid w:val="007C044B"/>
    <w:rsid w:val="007C5EB5"/>
    <w:rsid w:val="007D23EE"/>
    <w:rsid w:val="007D264A"/>
    <w:rsid w:val="007D665F"/>
    <w:rsid w:val="007E3A1E"/>
    <w:rsid w:val="007F1400"/>
    <w:rsid w:val="007F402B"/>
    <w:rsid w:val="008018AC"/>
    <w:rsid w:val="00810815"/>
    <w:rsid w:val="0081137B"/>
    <w:rsid w:val="00820A37"/>
    <w:rsid w:val="00820CF5"/>
    <w:rsid w:val="0082741F"/>
    <w:rsid w:val="00836873"/>
    <w:rsid w:val="00843CC7"/>
    <w:rsid w:val="00852A36"/>
    <w:rsid w:val="00856A28"/>
    <w:rsid w:val="0087429D"/>
    <w:rsid w:val="0088311C"/>
    <w:rsid w:val="008860C2"/>
    <w:rsid w:val="008C1609"/>
    <w:rsid w:val="008C1801"/>
    <w:rsid w:val="008D0C02"/>
    <w:rsid w:val="008D0EC7"/>
    <w:rsid w:val="008D307D"/>
    <w:rsid w:val="008D739A"/>
    <w:rsid w:val="008E2274"/>
    <w:rsid w:val="008E7ED7"/>
    <w:rsid w:val="00900E47"/>
    <w:rsid w:val="00905454"/>
    <w:rsid w:val="00906EA0"/>
    <w:rsid w:val="00907CA9"/>
    <w:rsid w:val="00927905"/>
    <w:rsid w:val="009379C4"/>
    <w:rsid w:val="00941D56"/>
    <w:rsid w:val="00942CBB"/>
    <w:rsid w:val="009540CB"/>
    <w:rsid w:val="00961235"/>
    <w:rsid w:val="00995B4C"/>
    <w:rsid w:val="009A1A3C"/>
    <w:rsid w:val="009E0265"/>
    <w:rsid w:val="009E6420"/>
    <w:rsid w:val="009F0E98"/>
    <w:rsid w:val="009F243A"/>
    <w:rsid w:val="00A117F5"/>
    <w:rsid w:val="00A22CD5"/>
    <w:rsid w:val="00A34430"/>
    <w:rsid w:val="00A42642"/>
    <w:rsid w:val="00A45AFD"/>
    <w:rsid w:val="00A47C47"/>
    <w:rsid w:val="00A54F49"/>
    <w:rsid w:val="00A57AF1"/>
    <w:rsid w:val="00A61894"/>
    <w:rsid w:val="00A80E5F"/>
    <w:rsid w:val="00A9206D"/>
    <w:rsid w:val="00AA6159"/>
    <w:rsid w:val="00AB62B8"/>
    <w:rsid w:val="00AC2847"/>
    <w:rsid w:val="00AC473C"/>
    <w:rsid w:val="00AC4833"/>
    <w:rsid w:val="00AC4C16"/>
    <w:rsid w:val="00AC56B9"/>
    <w:rsid w:val="00AE29F0"/>
    <w:rsid w:val="00AE6334"/>
    <w:rsid w:val="00AF1F91"/>
    <w:rsid w:val="00B01B76"/>
    <w:rsid w:val="00B1340F"/>
    <w:rsid w:val="00B14516"/>
    <w:rsid w:val="00B170CA"/>
    <w:rsid w:val="00B207DE"/>
    <w:rsid w:val="00B25E4E"/>
    <w:rsid w:val="00B43544"/>
    <w:rsid w:val="00B518B4"/>
    <w:rsid w:val="00B53648"/>
    <w:rsid w:val="00B55364"/>
    <w:rsid w:val="00B94C8A"/>
    <w:rsid w:val="00BA56DE"/>
    <w:rsid w:val="00BA65B4"/>
    <w:rsid w:val="00BC0B0A"/>
    <w:rsid w:val="00BC1E7F"/>
    <w:rsid w:val="00BC74BF"/>
    <w:rsid w:val="00BE586A"/>
    <w:rsid w:val="00C129DA"/>
    <w:rsid w:val="00C137B3"/>
    <w:rsid w:val="00C43F59"/>
    <w:rsid w:val="00C513A7"/>
    <w:rsid w:val="00C548C8"/>
    <w:rsid w:val="00C641AD"/>
    <w:rsid w:val="00C70ABF"/>
    <w:rsid w:val="00C70B3F"/>
    <w:rsid w:val="00C83534"/>
    <w:rsid w:val="00C846B7"/>
    <w:rsid w:val="00C94349"/>
    <w:rsid w:val="00CA796F"/>
    <w:rsid w:val="00CC2186"/>
    <w:rsid w:val="00CD5527"/>
    <w:rsid w:val="00CE1695"/>
    <w:rsid w:val="00CE3E5A"/>
    <w:rsid w:val="00CE49EF"/>
    <w:rsid w:val="00CF086C"/>
    <w:rsid w:val="00CF473C"/>
    <w:rsid w:val="00D00EB0"/>
    <w:rsid w:val="00D02778"/>
    <w:rsid w:val="00D03B73"/>
    <w:rsid w:val="00D112AD"/>
    <w:rsid w:val="00D128F9"/>
    <w:rsid w:val="00D20B63"/>
    <w:rsid w:val="00D22065"/>
    <w:rsid w:val="00D22221"/>
    <w:rsid w:val="00D2665B"/>
    <w:rsid w:val="00D27CE8"/>
    <w:rsid w:val="00D3462A"/>
    <w:rsid w:val="00D34EB0"/>
    <w:rsid w:val="00D45EAA"/>
    <w:rsid w:val="00D46016"/>
    <w:rsid w:val="00D85931"/>
    <w:rsid w:val="00D85C9F"/>
    <w:rsid w:val="00D87E6F"/>
    <w:rsid w:val="00DB5324"/>
    <w:rsid w:val="00DC5FFD"/>
    <w:rsid w:val="00DD091E"/>
    <w:rsid w:val="00DD3BB2"/>
    <w:rsid w:val="00DE0114"/>
    <w:rsid w:val="00DE1339"/>
    <w:rsid w:val="00DE314E"/>
    <w:rsid w:val="00DF28A9"/>
    <w:rsid w:val="00E03E53"/>
    <w:rsid w:val="00E1525F"/>
    <w:rsid w:val="00E16186"/>
    <w:rsid w:val="00E3144D"/>
    <w:rsid w:val="00E35A5D"/>
    <w:rsid w:val="00E36084"/>
    <w:rsid w:val="00E40C7E"/>
    <w:rsid w:val="00E45552"/>
    <w:rsid w:val="00E6187A"/>
    <w:rsid w:val="00E71063"/>
    <w:rsid w:val="00E90BAC"/>
    <w:rsid w:val="00E948CD"/>
    <w:rsid w:val="00E97AD0"/>
    <w:rsid w:val="00EA2085"/>
    <w:rsid w:val="00EA3E07"/>
    <w:rsid w:val="00EA4D9B"/>
    <w:rsid w:val="00EA6DBA"/>
    <w:rsid w:val="00EA7807"/>
    <w:rsid w:val="00EC692B"/>
    <w:rsid w:val="00EE35A5"/>
    <w:rsid w:val="00F16A1B"/>
    <w:rsid w:val="00F22B04"/>
    <w:rsid w:val="00F82AF1"/>
    <w:rsid w:val="00F87152"/>
    <w:rsid w:val="00F93895"/>
    <w:rsid w:val="00FA7372"/>
    <w:rsid w:val="00FC78BF"/>
    <w:rsid w:val="00FD3A85"/>
    <w:rsid w:val="00FE4195"/>
    <w:rsid w:val="00FF4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CE70"/>
  <w15:chartTrackingRefBased/>
  <w15:docId w15:val="{3FE417C7-E054-4D31-8917-1AF90CEF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6D"/>
    <w:pPr>
      <w:suppressAutoHyphens/>
      <w:jc w:val="both"/>
    </w:pPr>
    <w:rPr>
      <w:rFonts w:eastAsia="Times New Roman" w:cs="Times New Roman"/>
      <w:szCs w:val="20"/>
    </w:rPr>
  </w:style>
  <w:style w:type="paragraph" w:styleId="Heading2">
    <w:name w:val="heading 2"/>
    <w:basedOn w:val="Normal"/>
    <w:link w:val="Heading2Char"/>
    <w:uiPriority w:val="9"/>
    <w:qFormat/>
    <w:rsid w:val="0047041A"/>
    <w:pPr>
      <w:suppressAutoHyphens w:val="0"/>
      <w:spacing w:before="100" w:beforeAutospacing="1" w:after="100" w:afterAutospacing="1"/>
      <w:jc w:val="left"/>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206D"/>
    <w:rPr>
      <w:rFonts w:ascii="Arial" w:hAnsi="Arial" w:cs="Times New Roman"/>
      <w:color w:val="0000FF"/>
      <w:sz w:val="24"/>
      <w:u w:val="single"/>
    </w:rPr>
  </w:style>
  <w:style w:type="paragraph" w:styleId="Footer">
    <w:name w:val="footer"/>
    <w:basedOn w:val="Normal"/>
    <w:link w:val="FooterChar"/>
    <w:uiPriority w:val="99"/>
    <w:rsid w:val="00A9206D"/>
    <w:pPr>
      <w:tabs>
        <w:tab w:val="center" w:pos="4153"/>
        <w:tab w:val="right" w:pos="8306"/>
      </w:tabs>
    </w:pPr>
  </w:style>
  <w:style w:type="character" w:customStyle="1" w:styleId="FooterChar">
    <w:name w:val="Footer Char"/>
    <w:basedOn w:val="DefaultParagraphFont"/>
    <w:link w:val="Footer"/>
    <w:uiPriority w:val="99"/>
    <w:rsid w:val="00A9206D"/>
    <w:rPr>
      <w:rFonts w:eastAsia="Times New Roman" w:cs="Times New Roman"/>
      <w:szCs w:val="20"/>
    </w:rPr>
  </w:style>
  <w:style w:type="paragraph" w:styleId="Header">
    <w:name w:val="header"/>
    <w:basedOn w:val="Normal"/>
    <w:link w:val="HeaderChar"/>
    <w:rsid w:val="00A9206D"/>
    <w:pPr>
      <w:tabs>
        <w:tab w:val="center" w:pos="4320"/>
        <w:tab w:val="right" w:pos="8640"/>
      </w:tabs>
      <w:suppressAutoHyphens w:val="0"/>
    </w:pPr>
    <w:rPr>
      <w:rFonts w:cs="Arial"/>
      <w:sz w:val="16"/>
    </w:rPr>
  </w:style>
  <w:style w:type="character" w:customStyle="1" w:styleId="HeaderChar">
    <w:name w:val="Header Char"/>
    <w:basedOn w:val="DefaultParagraphFont"/>
    <w:link w:val="Header"/>
    <w:rsid w:val="00A9206D"/>
    <w:rPr>
      <w:rFonts w:eastAsia="Times New Roman"/>
      <w:sz w:val="16"/>
      <w:szCs w:val="20"/>
    </w:rPr>
  </w:style>
  <w:style w:type="paragraph" w:styleId="FootnoteText">
    <w:name w:val="footnote text"/>
    <w:basedOn w:val="Normal"/>
    <w:link w:val="FootnoteTextChar"/>
    <w:uiPriority w:val="99"/>
    <w:rsid w:val="00A9206D"/>
    <w:pPr>
      <w:suppressAutoHyphens w:val="0"/>
      <w:jc w:val="left"/>
    </w:pPr>
    <w:rPr>
      <w:rFonts w:cs="Arial"/>
      <w:sz w:val="20"/>
    </w:rPr>
  </w:style>
  <w:style w:type="character" w:customStyle="1" w:styleId="FootnoteTextChar">
    <w:name w:val="Footnote Text Char"/>
    <w:basedOn w:val="DefaultParagraphFont"/>
    <w:link w:val="FootnoteText"/>
    <w:uiPriority w:val="99"/>
    <w:rsid w:val="00A9206D"/>
    <w:rPr>
      <w:rFonts w:eastAsia="Times New Roman"/>
      <w:sz w:val="20"/>
      <w:szCs w:val="20"/>
    </w:rPr>
  </w:style>
  <w:style w:type="character" w:styleId="FootnoteReference">
    <w:name w:val="footnote reference"/>
    <w:basedOn w:val="DefaultParagraphFont"/>
    <w:uiPriority w:val="99"/>
    <w:rsid w:val="00A9206D"/>
    <w:rPr>
      <w:rFonts w:cs="Times New Roman"/>
      <w:vertAlign w:val="superscript"/>
    </w:rPr>
  </w:style>
  <w:style w:type="paragraph" w:styleId="ListParagraph">
    <w:name w:val="List Paragraph"/>
    <w:basedOn w:val="Normal"/>
    <w:link w:val="ListParagraphChar"/>
    <w:uiPriority w:val="34"/>
    <w:qFormat/>
    <w:rsid w:val="00A9206D"/>
    <w:pPr>
      <w:ind w:left="720"/>
    </w:pPr>
  </w:style>
  <w:style w:type="character" w:customStyle="1" w:styleId="slug-pop-date">
    <w:name w:val="slug-pop-date"/>
    <w:rsid w:val="00A9206D"/>
  </w:style>
  <w:style w:type="character" w:customStyle="1" w:styleId="pop-slug">
    <w:name w:val="pop-slug"/>
    <w:rsid w:val="00A9206D"/>
  </w:style>
  <w:style w:type="paragraph" w:customStyle="1" w:styleId="Default">
    <w:name w:val="Default"/>
    <w:rsid w:val="00A9206D"/>
    <w:pPr>
      <w:autoSpaceDE w:val="0"/>
      <w:autoSpaceDN w:val="0"/>
      <w:adjustRightInd w:val="0"/>
    </w:pPr>
    <w:rPr>
      <w:rFonts w:eastAsia="Times New Roman"/>
      <w:color w:val="000000"/>
      <w:lang w:eastAsia="en-GB"/>
    </w:rPr>
  </w:style>
  <w:style w:type="character" w:styleId="UnresolvedMention">
    <w:name w:val="Unresolved Mention"/>
    <w:basedOn w:val="DefaultParagraphFont"/>
    <w:uiPriority w:val="99"/>
    <w:semiHidden/>
    <w:unhideWhenUsed/>
    <w:rsid w:val="00EA7807"/>
    <w:rPr>
      <w:color w:val="605E5C"/>
      <w:shd w:val="clear" w:color="auto" w:fill="E1DFDD"/>
    </w:rPr>
  </w:style>
  <w:style w:type="character" w:styleId="FollowedHyperlink">
    <w:name w:val="FollowedHyperlink"/>
    <w:basedOn w:val="DefaultParagraphFont"/>
    <w:uiPriority w:val="99"/>
    <w:semiHidden/>
    <w:unhideWhenUsed/>
    <w:rsid w:val="00820CF5"/>
    <w:rPr>
      <w:color w:val="800080" w:themeColor="followedHyperlink"/>
      <w:u w:val="single"/>
    </w:rPr>
  </w:style>
  <w:style w:type="paragraph" w:styleId="Revision">
    <w:name w:val="Revision"/>
    <w:hidden/>
    <w:uiPriority w:val="99"/>
    <w:semiHidden/>
    <w:rsid w:val="00820CF5"/>
    <w:rPr>
      <w:rFonts w:eastAsia="Times New Roman" w:cs="Times New Roman"/>
      <w:szCs w:val="20"/>
    </w:rPr>
  </w:style>
  <w:style w:type="character" w:styleId="CommentReference">
    <w:name w:val="annotation reference"/>
    <w:basedOn w:val="DefaultParagraphFont"/>
    <w:uiPriority w:val="99"/>
    <w:semiHidden/>
    <w:unhideWhenUsed/>
    <w:rsid w:val="008D307D"/>
    <w:rPr>
      <w:sz w:val="16"/>
      <w:szCs w:val="16"/>
    </w:rPr>
  </w:style>
  <w:style w:type="paragraph" w:styleId="CommentText">
    <w:name w:val="annotation text"/>
    <w:basedOn w:val="Normal"/>
    <w:link w:val="CommentTextChar"/>
    <w:uiPriority w:val="99"/>
    <w:unhideWhenUsed/>
    <w:rsid w:val="008D307D"/>
    <w:rPr>
      <w:sz w:val="20"/>
    </w:rPr>
  </w:style>
  <w:style w:type="character" w:customStyle="1" w:styleId="CommentTextChar">
    <w:name w:val="Comment Text Char"/>
    <w:basedOn w:val="DefaultParagraphFont"/>
    <w:link w:val="CommentText"/>
    <w:uiPriority w:val="99"/>
    <w:rsid w:val="008D307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07D"/>
    <w:rPr>
      <w:b/>
      <w:bCs/>
    </w:rPr>
  </w:style>
  <w:style w:type="character" w:customStyle="1" w:styleId="CommentSubjectChar">
    <w:name w:val="Comment Subject Char"/>
    <w:basedOn w:val="CommentTextChar"/>
    <w:link w:val="CommentSubject"/>
    <w:uiPriority w:val="99"/>
    <w:semiHidden/>
    <w:rsid w:val="008D307D"/>
    <w:rPr>
      <w:rFonts w:eastAsia="Times New Roman" w:cs="Times New Roman"/>
      <w:b/>
      <w:bCs/>
      <w:sz w:val="20"/>
      <w:szCs w:val="20"/>
    </w:rPr>
  </w:style>
  <w:style w:type="table" w:styleId="TableGrid">
    <w:name w:val="Table Grid"/>
    <w:basedOn w:val="TableNormal"/>
    <w:uiPriority w:val="59"/>
    <w:unhideWhenUsed/>
    <w:rsid w:val="004624E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129DA"/>
    <w:rPr>
      <w:rFonts w:eastAsia="Times New Roman" w:cs="Times New Roman"/>
      <w:szCs w:val="20"/>
    </w:rPr>
  </w:style>
  <w:style w:type="character" w:customStyle="1" w:styleId="normaltextrun">
    <w:name w:val="normaltextrun"/>
    <w:basedOn w:val="DefaultParagraphFont"/>
    <w:rsid w:val="00C129DA"/>
  </w:style>
  <w:style w:type="character" w:customStyle="1" w:styleId="Heading2Char">
    <w:name w:val="Heading 2 Char"/>
    <w:basedOn w:val="DefaultParagraphFont"/>
    <w:link w:val="Heading2"/>
    <w:uiPriority w:val="9"/>
    <w:rsid w:val="0047041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041A"/>
    <w:pPr>
      <w:suppressAutoHyphens w:val="0"/>
      <w:spacing w:before="100" w:beforeAutospacing="1" w:after="100" w:afterAutospacing="1"/>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28935">
      <w:bodyDiv w:val="1"/>
      <w:marLeft w:val="0"/>
      <w:marRight w:val="0"/>
      <w:marTop w:val="0"/>
      <w:marBottom w:val="0"/>
      <w:divBdr>
        <w:top w:val="none" w:sz="0" w:space="0" w:color="auto"/>
        <w:left w:val="none" w:sz="0" w:space="0" w:color="auto"/>
        <w:bottom w:val="none" w:sz="0" w:space="0" w:color="auto"/>
        <w:right w:val="none" w:sz="0" w:space="0" w:color="auto"/>
      </w:divBdr>
    </w:div>
    <w:div w:id="870730241">
      <w:bodyDiv w:val="1"/>
      <w:marLeft w:val="0"/>
      <w:marRight w:val="0"/>
      <w:marTop w:val="0"/>
      <w:marBottom w:val="0"/>
      <w:divBdr>
        <w:top w:val="none" w:sz="0" w:space="0" w:color="auto"/>
        <w:left w:val="none" w:sz="0" w:space="0" w:color="auto"/>
        <w:bottom w:val="none" w:sz="0" w:space="0" w:color="auto"/>
        <w:right w:val="none" w:sz="0" w:space="0" w:color="auto"/>
      </w:divBdr>
    </w:div>
    <w:div w:id="1820150428">
      <w:bodyDiv w:val="1"/>
      <w:marLeft w:val="0"/>
      <w:marRight w:val="0"/>
      <w:marTop w:val="0"/>
      <w:marBottom w:val="0"/>
      <w:divBdr>
        <w:top w:val="none" w:sz="0" w:space="0" w:color="auto"/>
        <w:left w:val="none" w:sz="0" w:space="0" w:color="auto"/>
        <w:bottom w:val="none" w:sz="0" w:space="0" w:color="auto"/>
        <w:right w:val="none" w:sz="0" w:space="0" w:color="auto"/>
      </w:divBdr>
    </w:div>
    <w:div w:id="19457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onmedical.co.uk/" TargetMode="External"/><Relationship Id="rId13" Type="http://schemas.openxmlformats.org/officeDocument/2006/relationships/hyperlink" Target="https://www.oxfordshire.gov.uk/cms/content/multi-agency-safeguarding-hub" TargetMode="External"/><Relationship Id="rId18" Type="http://schemas.openxmlformats.org/officeDocument/2006/relationships/hyperlink" Target="https://www.gov.uk/government/publications/community-pharmacy-delivering-substance-misuse-servi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anstoun.org/help-and-advice/young-people/oxfordshire-here4youth/" TargetMode="External"/><Relationship Id="rId7" Type="http://schemas.openxmlformats.org/officeDocument/2006/relationships/endnotes" Target="endnotes.xml"/><Relationship Id="rId12" Type="http://schemas.openxmlformats.org/officeDocument/2006/relationships/hyperlink" Target="https://www.gov.uk/government/publications/a-guide-to-defective-medicinal-products" TargetMode="External"/><Relationship Id="rId17" Type="http://schemas.openxmlformats.org/officeDocument/2006/relationships/hyperlink" Target="https://www.gov.uk/government/publications/a-guide-to-defective-medicinal-produc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drug-misuse-and-dependence-uk-guidelines-on-clinical-management" TargetMode="External"/><Relationship Id="rId20" Type="http://schemas.openxmlformats.org/officeDocument/2006/relationships/hyperlink" Target="https://www.turning-point.co.uk/services/oxfordsh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ionmedical.co.uk/product-category/naloxo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providing-take-home-naloxone-for-opioid-overdose" TargetMode="External"/><Relationship Id="rId23" Type="http://schemas.openxmlformats.org/officeDocument/2006/relationships/image" Target="media/image1.png"/><Relationship Id="rId10" Type="http://schemas.openxmlformats.org/officeDocument/2006/relationships/hyperlink" Target="https://www.ap-elearning.org.uk/course/index.php?categoryid=2" TargetMode="External"/><Relationship Id="rId19" Type="http://schemas.openxmlformats.org/officeDocument/2006/relationships/hyperlink" Target="https://orionmedical.co.uk/" TargetMode="External"/><Relationship Id="rId4" Type="http://schemas.openxmlformats.org/officeDocument/2006/relationships/settings" Target="settings.xml"/><Relationship Id="rId9" Type="http://schemas.openxmlformats.org/officeDocument/2006/relationships/hyperlink" Target="https://orionmedical.co.uk/registration/" TargetMode="External"/><Relationship Id="rId14" Type="http://schemas.openxmlformats.org/officeDocument/2006/relationships/hyperlink" Target="https://www.gov.uk/government/publications/widening-the-availability-of-naloxone" TargetMode="External"/><Relationship Id="rId22" Type="http://schemas.openxmlformats.org/officeDocument/2006/relationships/hyperlink" Target="https://www.gov.uk/government/publications/acmd-naloxone-review/acmd-review-of-the-uk-naloxone-implementation-accessibl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669475/phetake-homenaloxoneforopioidoverdoseaug2017.pdf" TargetMode="External"/><Relationship Id="rId2" Type="http://schemas.openxmlformats.org/officeDocument/2006/relationships/hyperlink" Target="https://www.gov.uk/government/publications/naloxone-a-review" TargetMode="External"/><Relationship Id="rId1" Type="http://schemas.openxmlformats.org/officeDocument/2006/relationships/hyperlink" Target="https://www.ons.gov.uk/peoplepopulationandcommunity/birthsdeathsandmarriages/deaths/bulletins/deathsrelatedtodrugpoisoninginenglandandwales/2022registrations" TargetMode="External"/><Relationship Id="rId6" Type="http://schemas.openxmlformats.org/officeDocument/2006/relationships/hyperlink" Target="https://www.gov.uk/government/publications/acmd-naloxone-review/acmd-review-of-the-uk-naloxone-implementation-accessible" TargetMode="External"/><Relationship Id="rId5" Type="http://schemas.openxmlformats.org/officeDocument/2006/relationships/hyperlink" Target="https://www.gov.uk/government/publications/widening-the-availability-of-naloxone/widening-the-availability-of-naloxone" TargetMode="External"/><Relationship Id="rId4" Type="http://schemas.openxmlformats.org/officeDocument/2006/relationships/hyperlink" Target="https://www.gov.uk/government/publications/acmd-naloxone-review/acmd-review-of-the-uk-naloxone-implementation-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6CE8E4-F490-4DC5-B33B-9702D877399E}">
  <we:reference id="fd624fb9-2cff-43d6-a4a7-5636de2a5b64" version="1.5.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416B-4080-4E0E-81DC-79A9C48F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Enemuo, Ify - Oxfordshire County Council</dc:creator>
  <cp:keywords/>
  <dc:description/>
  <cp:lastModifiedBy>Amanda Dean</cp:lastModifiedBy>
  <cp:revision>2</cp:revision>
  <dcterms:created xsi:type="dcterms:W3CDTF">2024-06-14T09:46:00Z</dcterms:created>
  <dcterms:modified xsi:type="dcterms:W3CDTF">2024-06-14T09:46:00Z</dcterms:modified>
</cp:coreProperties>
</file>