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Look w:val="04A0" w:firstRow="1" w:lastRow="0" w:firstColumn="1" w:lastColumn="0" w:noHBand="0" w:noVBand="1"/>
      </w:tblPr>
      <w:tblGrid>
        <w:gridCol w:w="1692"/>
        <w:gridCol w:w="1837"/>
        <w:gridCol w:w="1193"/>
        <w:gridCol w:w="4771"/>
      </w:tblGrid>
      <w:tr w:rsidR="00F245E7" w:rsidRPr="00F245E7" w14:paraId="66A9EF6C" w14:textId="77777777" w:rsidTr="00886184">
        <w:trPr>
          <w:trHeight w:val="262"/>
        </w:trPr>
        <w:tc>
          <w:tcPr>
            <w:tcW w:w="1692" w:type="dxa"/>
            <w:shd w:val="clear" w:color="auto" w:fill="0070C0"/>
          </w:tcPr>
          <w:p w14:paraId="3A7CD2AD" w14:textId="26F65EA9" w:rsidR="003D618C" w:rsidRPr="00062124" w:rsidRDefault="0073627B">
            <w:pPr>
              <w:rPr>
                <w:b/>
                <w:bCs/>
                <w:color w:val="FFFFFF" w:themeColor="background1"/>
                <w:sz w:val="20"/>
                <w:szCs w:val="20"/>
              </w:rPr>
            </w:pPr>
            <w:r w:rsidRPr="00062124">
              <w:rPr>
                <w:b/>
                <w:bCs/>
                <w:color w:val="FFFFFF" w:themeColor="background1"/>
                <w:sz w:val="20"/>
                <w:szCs w:val="20"/>
              </w:rPr>
              <w:t>Subject</w:t>
            </w:r>
          </w:p>
        </w:tc>
        <w:tc>
          <w:tcPr>
            <w:tcW w:w="1837" w:type="dxa"/>
            <w:shd w:val="clear" w:color="auto" w:fill="0070C0"/>
          </w:tcPr>
          <w:p w14:paraId="61AB0AEA" w14:textId="5E8A2D51" w:rsidR="003D618C" w:rsidRPr="00062124" w:rsidRDefault="0073627B">
            <w:pPr>
              <w:rPr>
                <w:b/>
                <w:bCs/>
                <w:color w:val="FFFFFF" w:themeColor="background1"/>
                <w:sz w:val="20"/>
                <w:szCs w:val="20"/>
              </w:rPr>
            </w:pPr>
            <w:r w:rsidRPr="00062124">
              <w:rPr>
                <w:b/>
                <w:bCs/>
                <w:color w:val="FFFFFF" w:themeColor="background1"/>
                <w:sz w:val="20"/>
                <w:szCs w:val="20"/>
              </w:rPr>
              <w:t>Requirement</w:t>
            </w:r>
          </w:p>
        </w:tc>
        <w:tc>
          <w:tcPr>
            <w:tcW w:w="1193" w:type="dxa"/>
            <w:shd w:val="clear" w:color="auto" w:fill="0070C0"/>
          </w:tcPr>
          <w:p w14:paraId="79CEAB90" w14:textId="344171A4" w:rsidR="003D618C" w:rsidRPr="00062124" w:rsidRDefault="0073627B">
            <w:pPr>
              <w:rPr>
                <w:b/>
                <w:bCs/>
                <w:color w:val="FFFFFF" w:themeColor="background1"/>
                <w:sz w:val="20"/>
                <w:szCs w:val="20"/>
              </w:rPr>
            </w:pPr>
            <w:r w:rsidRPr="00062124">
              <w:rPr>
                <w:b/>
                <w:bCs/>
                <w:color w:val="FFFFFF" w:themeColor="background1"/>
                <w:sz w:val="20"/>
                <w:szCs w:val="20"/>
              </w:rPr>
              <w:t>Deadline</w:t>
            </w:r>
          </w:p>
        </w:tc>
        <w:tc>
          <w:tcPr>
            <w:tcW w:w="4771" w:type="dxa"/>
            <w:shd w:val="clear" w:color="auto" w:fill="0070C0"/>
          </w:tcPr>
          <w:p w14:paraId="0898BD7C" w14:textId="12F7C76F" w:rsidR="003D618C" w:rsidRPr="00062124" w:rsidRDefault="0073627B">
            <w:pPr>
              <w:rPr>
                <w:b/>
                <w:bCs/>
                <w:color w:val="FFFFFF" w:themeColor="background1"/>
                <w:sz w:val="20"/>
                <w:szCs w:val="20"/>
              </w:rPr>
            </w:pPr>
            <w:r w:rsidRPr="00062124">
              <w:rPr>
                <w:b/>
                <w:bCs/>
                <w:color w:val="FFFFFF" w:themeColor="background1"/>
                <w:sz w:val="20"/>
                <w:szCs w:val="20"/>
              </w:rPr>
              <w:t>Action and Links</w:t>
            </w:r>
          </w:p>
        </w:tc>
      </w:tr>
      <w:tr w:rsidR="003D618C" w:rsidRPr="005D7585" w14:paraId="79F3A4AD" w14:textId="77777777" w:rsidTr="00886184">
        <w:tc>
          <w:tcPr>
            <w:tcW w:w="1692" w:type="dxa"/>
            <w:shd w:val="clear" w:color="auto" w:fill="auto"/>
          </w:tcPr>
          <w:p w14:paraId="2052F6FA" w14:textId="19F2B43C" w:rsidR="003D618C" w:rsidRPr="005D7585" w:rsidRDefault="005D7585">
            <w:pPr>
              <w:rPr>
                <w:sz w:val="20"/>
                <w:szCs w:val="20"/>
              </w:rPr>
            </w:pPr>
            <w:r w:rsidRPr="005D7585">
              <w:rPr>
                <w:sz w:val="20"/>
                <w:szCs w:val="20"/>
              </w:rPr>
              <w:t>Pharmacy First</w:t>
            </w:r>
          </w:p>
        </w:tc>
        <w:tc>
          <w:tcPr>
            <w:tcW w:w="1837" w:type="dxa"/>
            <w:shd w:val="clear" w:color="auto" w:fill="auto"/>
          </w:tcPr>
          <w:p w14:paraId="29D98826" w14:textId="3A30E26F" w:rsidR="003D618C" w:rsidRPr="005D7585" w:rsidRDefault="009B5A14">
            <w:pPr>
              <w:rPr>
                <w:sz w:val="20"/>
                <w:szCs w:val="20"/>
              </w:rPr>
            </w:pPr>
            <w:r>
              <w:rPr>
                <w:sz w:val="20"/>
                <w:szCs w:val="20"/>
              </w:rPr>
              <w:t>Pharmacy Income</w:t>
            </w:r>
          </w:p>
        </w:tc>
        <w:tc>
          <w:tcPr>
            <w:tcW w:w="1193" w:type="dxa"/>
            <w:shd w:val="clear" w:color="auto" w:fill="auto"/>
          </w:tcPr>
          <w:p w14:paraId="1948DD8B" w14:textId="1B4A8AE9" w:rsidR="003D618C" w:rsidRPr="005D7585" w:rsidRDefault="00727788">
            <w:pPr>
              <w:rPr>
                <w:sz w:val="20"/>
                <w:szCs w:val="20"/>
              </w:rPr>
            </w:pPr>
            <w:r>
              <w:rPr>
                <w:sz w:val="20"/>
                <w:szCs w:val="20"/>
              </w:rPr>
              <w:t>June</w:t>
            </w:r>
          </w:p>
        </w:tc>
        <w:tc>
          <w:tcPr>
            <w:tcW w:w="4771" w:type="dxa"/>
            <w:shd w:val="clear" w:color="auto" w:fill="auto"/>
          </w:tcPr>
          <w:p w14:paraId="29AA9857" w14:textId="7BF43A2E" w:rsidR="008A5B50" w:rsidRPr="008A5B50" w:rsidRDefault="008A5B50" w:rsidP="008A5B50">
            <w:pPr>
              <w:rPr>
                <w:sz w:val="20"/>
                <w:szCs w:val="20"/>
              </w:rPr>
            </w:pPr>
            <w:r w:rsidRPr="008A5B50">
              <w:rPr>
                <w:sz w:val="20"/>
                <w:szCs w:val="20"/>
              </w:rPr>
              <w:t>Updated Pharmacy First caps come into force for May 2025.</w:t>
            </w:r>
          </w:p>
          <w:p w14:paraId="10A315C1" w14:textId="77777777" w:rsidR="008A5B50" w:rsidRPr="008A5B50" w:rsidRDefault="008A5B50" w:rsidP="008A5B50">
            <w:pPr>
              <w:rPr>
                <w:sz w:val="20"/>
                <w:szCs w:val="20"/>
              </w:rPr>
            </w:pPr>
          </w:p>
          <w:p w14:paraId="7A16DDD1" w14:textId="7CC5EBE6" w:rsidR="008A5B50" w:rsidRDefault="008A5B50" w:rsidP="008A5B50">
            <w:pPr>
              <w:rPr>
                <w:sz w:val="20"/>
                <w:szCs w:val="20"/>
              </w:rPr>
            </w:pPr>
            <w:r w:rsidRPr="008A5B50">
              <w:rPr>
                <w:b/>
                <w:bCs/>
                <w:sz w:val="20"/>
                <w:szCs w:val="20"/>
              </w:rPr>
              <w:t>Action:</w:t>
            </w:r>
            <w:r w:rsidRPr="008A5B50">
              <w:rPr>
                <w:sz w:val="20"/>
                <w:szCs w:val="20"/>
              </w:rPr>
              <w:t xml:space="preserve"> </w:t>
            </w:r>
            <w:r>
              <w:rPr>
                <w:sz w:val="20"/>
                <w:szCs w:val="20"/>
              </w:rPr>
              <w:t>C</w:t>
            </w:r>
            <w:r w:rsidRPr="008A5B50">
              <w:rPr>
                <w:sz w:val="20"/>
                <w:szCs w:val="20"/>
              </w:rPr>
              <w:t xml:space="preserve">heck the </w:t>
            </w:r>
            <w:hyperlink r:id="rId7" w:history="1">
              <w:r w:rsidRPr="008A5B50">
                <w:rPr>
                  <w:rStyle w:val="Hyperlink"/>
                  <w:sz w:val="20"/>
                  <w:szCs w:val="20"/>
                </w:rPr>
                <w:t>NHSBSA website</w:t>
              </w:r>
            </w:hyperlink>
            <w:r w:rsidRPr="008A5B50">
              <w:rPr>
                <w:sz w:val="20"/>
                <w:szCs w:val="20"/>
              </w:rPr>
              <w:t xml:space="preserve"> to see what your Pharmacy First cap is for this month.</w:t>
            </w:r>
          </w:p>
          <w:p w14:paraId="49FB219A" w14:textId="77777777" w:rsidR="008A5B50" w:rsidRDefault="008A5B50" w:rsidP="008A5B50">
            <w:pPr>
              <w:rPr>
                <w:sz w:val="20"/>
                <w:szCs w:val="20"/>
              </w:rPr>
            </w:pPr>
          </w:p>
          <w:p w14:paraId="1BB6C800" w14:textId="77777777" w:rsidR="008A5B50" w:rsidRDefault="008A5B50" w:rsidP="00727788">
            <w:pPr>
              <w:rPr>
                <w:sz w:val="20"/>
                <w:szCs w:val="20"/>
              </w:rPr>
            </w:pPr>
            <w:r w:rsidRPr="008A5B50">
              <w:rPr>
                <w:sz w:val="20"/>
                <w:szCs w:val="20"/>
              </w:rPr>
              <w:t>We have agreed revisions to this plan with</w:t>
            </w:r>
          </w:p>
          <w:p w14:paraId="1B67D8C4" w14:textId="6912D8EB" w:rsidR="003D2D5A" w:rsidRPr="005D7585" w:rsidRDefault="008A5B50" w:rsidP="008A5B50">
            <w:pPr>
              <w:rPr>
                <w:sz w:val="20"/>
                <w:szCs w:val="20"/>
              </w:rPr>
            </w:pPr>
            <w:r w:rsidRPr="008A5B50">
              <w:rPr>
                <w:sz w:val="20"/>
                <w:szCs w:val="20"/>
              </w:rPr>
              <w:t xml:space="preserve"> a phased introduction of ‘bundling’ requirements. To receive the monthly Pharmacy First payment, subject to also achieving the relevant volume of clinical pathway consultations</w:t>
            </w:r>
            <w:r>
              <w:rPr>
                <w:sz w:val="20"/>
                <w:szCs w:val="20"/>
              </w:rPr>
              <w:t xml:space="preserve">. </w:t>
            </w:r>
            <w:r w:rsidR="00727788" w:rsidRPr="00727788">
              <w:rPr>
                <w:sz w:val="20"/>
                <w:szCs w:val="20"/>
              </w:rPr>
              <w:t>▪ From June 2025, pharmacies will need to be registered to provide the PCS and HCFS</w:t>
            </w:r>
            <w:r w:rsidR="00727788">
              <w:rPr>
                <w:sz w:val="20"/>
                <w:szCs w:val="20"/>
              </w:rPr>
              <w:t>.</w:t>
            </w:r>
          </w:p>
        </w:tc>
      </w:tr>
      <w:tr w:rsidR="00886184" w:rsidRPr="005D7585" w14:paraId="5BAD58D2" w14:textId="77777777" w:rsidTr="00886184">
        <w:tc>
          <w:tcPr>
            <w:tcW w:w="1692" w:type="dxa"/>
            <w:shd w:val="clear" w:color="auto" w:fill="auto"/>
          </w:tcPr>
          <w:p w14:paraId="25C977D4" w14:textId="12D49D00" w:rsidR="00886184" w:rsidRDefault="00886184" w:rsidP="00886184">
            <w:pPr>
              <w:rPr>
                <w:sz w:val="20"/>
                <w:szCs w:val="20"/>
              </w:rPr>
            </w:pPr>
            <w:r w:rsidRPr="00886184">
              <w:rPr>
                <w:sz w:val="20"/>
                <w:szCs w:val="20"/>
              </w:rPr>
              <w:t>PQS</w:t>
            </w:r>
          </w:p>
        </w:tc>
        <w:tc>
          <w:tcPr>
            <w:tcW w:w="1837" w:type="dxa"/>
            <w:shd w:val="clear" w:color="auto" w:fill="auto"/>
          </w:tcPr>
          <w:p w14:paraId="3D06B7D6" w14:textId="25ADF95D" w:rsidR="00886184" w:rsidRDefault="00084268" w:rsidP="00886184">
            <w:pPr>
              <w:rPr>
                <w:sz w:val="20"/>
                <w:szCs w:val="20"/>
              </w:rPr>
            </w:pPr>
            <w:r>
              <w:rPr>
                <w:sz w:val="20"/>
                <w:szCs w:val="20"/>
              </w:rPr>
              <w:t>Pharmacy Income</w:t>
            </w:r>
          </w:p>
        </w:tc>
        <w:tc>
          <w:tcPr>
            <w:tcW w:w="1193" w:type="dxa"/>
            <w:shd w:val="clear" w:color="auto" w:fill="auto"/>
          </w:tcPr>
          <w:p w14:paraId="45C772F2" w14:textId="60D4AFDB" w:rsidR="00886184" w:rsidRPr="00B5646D" w:rsidRDefault="00084268" w:rsidP="00886184">
            <w:pPr>
              <w:rPr>
                <w:sz w:val="20"/>
                <w:szCs w:val="20"/>
              </w:rPr>
            </w:pPr>
            <w:r>
              <w:rPr>
                <w:sz w:val="20"/>
                <w:szCs w:val="20"/>
              </w:rPr>
              <w:t>16</w:t>
            </w:r>
            <w:r w:rsidRPr="00084268">
              <w:rPr>
                <w:sz w:val="20"/>
                <w:szCs w:val="20"/>
                <w:vertAlign w:val="superscript"/>
              </w:rPr>
              <w:t>th</w:t>
            </w:r>
            <w:r>
              <w:rPr>
                <w:sz w:val="20"/>
                <w:szCs w:val="20"/>
              </w:rPr>
              <w:t xml:space="preserve"> May</w:t>
            </w:r>
          </w:p>
        </w:tc>
        <w:tc>
          <w:tcPr>
            <w:tcW w:w="4771" w:type="dxa"/>
            <w:shd w:val="clear" w:color="auto" w:fill="auto"/>
          </w:tcPr>
          <w:p w14:paraId="05815486" w14:textId="27D9D140" w:rsidR="00886184" w:rsidRDefault="00084268" w:rsidP="00886184">
            <w:pPr>
              <w:rPr>
                <w:sz w:val="20"/>
                <w:szCs w:val="20"/>
              </w:rPr>
            </w:pPr>
            <w:r w:rsidRPr="00084268">
              <w:rPr>
                <w:sz w:val="20"/>
                <w:szCs w:val="20"/>
              </w:rPr>
              <w:t xml:space="preserve">If you wish to claim for a PQS Aspiration payment ensure you claim for this on the </w:t>
            </w:r>
            <w:hyperlink r:id="rId8" w:history="1">
              <w:r w:rsidRPr="0029618F">
                <w:rPr>
                  <w:rStyle w:val="Hyperlink"/>
                  <w:sz w:val="20"/>
                  <w:szCs w:val="20"/>
                </w:rPr>
                <w:t>MYS portal</w:t>
              </w:r>
            </w:hyperlink>
            <w:r w:rsidRPr="00084268">
              <w:rPr>
                <w:sz w:val="20"/>
                <w:szCs w:val="20"/>
              </w:rPr>
              <w:t xml:space="preserve"> be</w:t>
            </w:r>
            <w:r w:rsidR="005240B2">
              <w:rPr>
                <w:sz w:val="20"/>
                <w:szCs w:val="20"/>
              </w:rPr>
              <w:t>fore deadline</w:t>
            </w:r>
            <w:r w:rsidRPr="00084268">
              <w:rPr>
                <w:sz w:val="20"/>
                <w:szCs w:val="20"/>
              </w:rPr>
              <w:t xml:space="preserve"> </w:t>
            </w:r>
            <w:r w:rsidRPr="005240B2">
              <w:rPr>
                <w:b/>
                <w:bCs/>
                <w:sz w:val="20"/>
                <w:szCs w:val="20"/>
              </w:rPr>
              <w:t>11.59pm on 16th May 2025</w:t>
            </w:r>
            <w:r w:rsidRPr="00084268">
              <w:rPr>
                <w:sz w:val="20"/>
                <w:szCs w:val="20"/>
              </w:rPr>
              <w:t>.</w:t>
            </w:r>
            <w:r>
              <w:rPr>
                <w:sz w:val="20"/>
                <w:szCs w:val="20"/>
              </w:rPr>
              <w:t xml:space="preserve">  V</w:t>
            </w:r>
            <w:r w:rsidR="00886184" w:rsidRPr="00886184">
              <w:rPr>
                <w:sz w:val="20"/>
                <w:szCs w:val="20"/>
              </w:rPr>
              <w:t xml:space="preserve">isit the </w:t>
            </w:r>
            <w:hyperlink r:id="rId9" w:history="1">
              <w:r w:rsidR="00886184" w:rsidRPr="00886184">
                <w:rPr>
                  <w:rStyle w:val="Hyperlink"/>
                  <w:sz w:val="20"/>
                  <w:szCs w:val="20"/>
                </w:rPr>
                <w:t>PQS hub page</w:t>
              </w:r>
            </w:hyperlink>
            <w:r w:rsidR="00886184" w:rsidRPr="00886184">
              <w:rPr>
                <w:sz w:val="20"/>
                <w:szCs w:val="20"/>
              </w:rPr>
              <w:t xml:space="preserve"> for </w:t>
            </w:r>
            <w:r w:rsidR="00660A15">
              <w:rPr>
                <w:sz w:val="20"/>
                <w:szCs w:val="20"/>
              </w:rPr>
              <w:t xml:space="preserve">more </w:t>
            </w:r>
            <w:r w:rsidR="00886184" w:rsidRPr="00886184">
              <w:rPr>
                <w:sz w:val="20"/>
                <w:szCs w:val="20"/>
              </w:rPr>
              <w:t>details and information.</w:t>
            </w:r>
          </w:p>
          <w:p w14:paraId="0F917E77" w14:textId="37F505A9" w:rsidR="00886184" w:rsidRPr="007E6448" w:rsidRDefault="00886184" w:rsidP="00886184">
            <w:pPr>
              <w:rPr>
                <w:sz w:val="20"/>
                <w:szCs w:val="20"/>
              </w:rPr>
            </w:pPr>
          </w:p>
        </w:tc>
      </w:tr>
      <w:tr w:rsidR="00B07B33" w:rsidRPr="005D7585" w14:paraId="5D0B531A" w14:textId="77777777" w:rsidTr="00886184">
        <w:tc>
          <w:tcPr>
            <w:tcW w:w="1692" w:type="dxa"/>
            <w:shd w:val="clear" w:color="auto" w:fill="auto"/>
          </w:tcPr>
          <w:p w14:paraId="5743A514" w14:textId="4D73BEC4" w:rsidR="00B07B33" w:rsidRDefault="00B07B33">
            <w:pPr>
              <w:rPr>
                <w:sz w:val="20"/>
                <w:szCs w:val="20"/>
              </w:rPr>
            </w:pPr>
            <w:r>
              <w:rPr>
                <w:sz w:val="20"/>
                <w:szCs w:val="20"/>
              </w:rPr>
              <w:t>NMS</w:t>
            </w:r>
          </w:p>
        </w:tc>
        <w:tc>
          <w:tcPr>
            <w:tcW w:w="1837" w:type="dxa"/>
            <w:shd w:val="clear" w:color="auto" w:fill="auto"/>
          </w:tcPr>
          <w:p w14:paraId="5920CEE6" w14:textId="0645007C" w:rsidR="00B07B33" w:rsidRDefault="00B07B33" w:rsidP="00CF3097">
            <w:pPr>
              <w:rPr>
                <w:sz w:val="20"/>
                <w:szCs w:val="20"/>
              </w:rPr>
            </w:pPr>
            <w:r>
              <w:rPr>
                <w:sz w:val="20"/>
                <w:szCs w:val="20"/>
              </w:rPr>
              <w:t>Pharmacy Income</w:t>
            </w:r>
          </w:p>
        </w:tc>
        <w:tc>
          <w:tcPr>
            <w:tcW w:w="1193" w:type="dxa"/>
            <w:shd w:val="clear" w:color="auto" w:fill="auto"/>
          </w:tcPr>
          <w:p w14:paraId="5AAE3734" w14:textId="77777777" w:rsidR="00B07B33" w:rsidRPr="00B5646D" w:rsidRDefault="00B07B33">
            <w:pPr>
              <w:rPr>
                <w:sz w:val="20"/>
                <w:szCs w:val="20"/>
              </w:rPr>
            </w:pPr>
          </w:p>
        </w:tc>
        <w:tc>
          <w:tcPr>
            <w:tcW w:w="4771" w:type="dxa"/>
            <w:shd w:val="clear" w:color="auto" w:fill="auto"/>
          </w:tcPr>
          <w:p w14:paraId="6D8F1B4F" w14:textId="77777777" w:rsidR="00E55909" w:rsidRPr="00E55909" w:rsidRDefault="00E55909" w:rsidP="00E55909">
            <w:pPr>
              <w:rPr>
                <w:sz w:val="20"/>
                <w:szCs w:val="20"/>
              </w:rPr>
            </w:pPr>
            <w:hyperlink r:id="rId10" w:tgtFrame="_blank" w:history="1">
              <w:r w:rsidRPr="00E55909">
                <w:rPr>
                  <w:rStyle w:val="Hyperlink"/>
                  <w:b/>
                  <w:bCs/>
                  <w:sz w:val="20"/>
                  <w:szCs w:val="20"/>
                </w:rPr>
                <w:t>NMS: Making your end of month claim</w:t>
              </w:r>
            </w:hyperlink>
          </w:p>
          <w:p w14:paraId="6888A413" w14:textId="10B3E0A0" w:rsidR="00B07B33" w:rsidRPr="007E6448" w:rsidRDefault="00E55909" w:rsidP="00E55909">
            <w:pPr>
              <w:rPr>
                <w:sz w:val="20"/>
                <w:szCs w:val="20"/>
              </w:rPr>
            </w:pPr>
            <w:r w:rsidRPr="00E55909">
              <w:rPr>
                <w:sz w:val="20"/>
                <w:szCs w:val="20"/>
              </w:rPr>
              <w:t xml:space="preserve">Pharmacy contractors are reminded to review the revised payment structure for NMS </w:t>
            </w:r>
            <w:r>
              <w:rPr>
                <w:sz w:val="20"/>
                <w:szCs w:val="20"/>
              </w:rPr>
              <w:t xml:space="preserve">before </w:t>
            </w:r>
            <w:r w:rsidRPr="00E55909">
              <w:rPr>
                <w:sz w:val="20"/>
                <w:szCs w:val="20"/>
              </w:rPr>
              <w:t>submitting claims for consultations carried out in April 2025. For full information see </w:t>
            </w:r>
            <w:hyperlink r:id="rId11" w:tgtFrame="_blank" w:history="1">
              <w:r w:rsidRPr="00E55909">
                <w:rPr>
                  <w:rStyle w:val="Hyperlink"/>
                  <w:sz w:val="20"/>
                  <w:szCs w:val="20"/>
                </w:rPr>
                <w:t>here</w:t>
              </w:r>
            </w:hyperlink>
            <w:r w:rsidRPr="00E55909">
              <w:rPr>
                <w:sz w:val="20"/>
                <w:szCs w:val="20"/>
              </w:rPr>
              <w:t>.</w:t>
            </w:r>
          </w:p>
        </w:tc>
      </w:tr>
      <w:tr w:rsidR="007E6448" w:rsidRPr="005D7585" w14:paraId="483A4400" w14:textId="77777777" w:rsidTr="00886184">
        <w:tc>
          <w:tcPr>
            <w:tcW w:w="1692" w:type="dxa"/>
            <w:shd w:val="clear" w:color="auto" w:fill="auto"/>
          </w:tcPr>
          <w:p w14:paraId="251F1B60" w14:textId="538EDD0B" w:rsidR="007E6448" w:rsidRDefault="00CF3097">
            <w:pPr>
              <w:rPr>
                <w:sz w:val="20"/>
                <w:szCs w:val="20"/>
              </w:rPr>
            </w:pPr>
            <w:r>
              <w:rPr>
                <w:sz w:val="20"/>
                <w:szCs w:val="20"/>
              </w:rPr>
              <w:t>Annual Complaints report</w:t>
            </w:r>
          </w:p>
        </w:tc>
        <w:tc>
          <w:tcPr>
            <w:tcW w:w="1837" w:type="dxa"/>
            <w:shd w:val="clear" w:color="auto" w:fill="auto"/>
          </w:tcPr>
          <w:p w14:paraId="3569FC21" w14:textId="784BD4A5" w:rsidR="00CF3097" w:rsidRPr="00CF3097" w:rsidRDefault="00CF3097" w:rsidP="00CF3097">
            <w:pPr>
              <w:rPr>
                <w:sz w:val="20"/>
                <w:szCs w:val="20"/>
              </w:rPr>
            </w:pPr>
            <w:r>
              <w:rPr>
                <w:sz w:val="20"/>
                <w:szCs w:val="20"/>
              </w:rPr>
              <w:t>Terms of Service</w:t>
            </w:r>
          </w:p>
        </w:tc>
        <w:tc>
          <w:tcPr>
            <w:tcW w:w="1193" w:type="dxa"/>
            <w:shd w:val="clear" w:color="auto" w:fill="auto"/>
          </w:tcPr>
          <w:p w14:paraId="3DFA580D" w14:textId="3BEDC6EC" w:rsidR="007E6448" w:rsidRDefault="00B5646D">
            <w:pPr>
              <w:rPr>
                <w:sz w:val="20"/>
                <w:szCs w:val="20"/>
              </w:rPr>
            </w:pPr>
            <w:r w:rsidRPr="00B5646D">
              <w:rPr>
                <w:sz w:val="20"/>
                <w:szCs w:val="20"/>
              </w:rPr>
              <w:t xml:space="preserve">As soon </w:t>
            </w:r>
            <w:r w:rsidR="004D7B35" w:rsidRPr="00B5646D">
              <w:rPr>
                <w:sz w:val="20"/>
                <w:szCs w:val="20"/>
              </w:rPr>
              <w:t>as possible</w:t>
            </w:r>
            <w:r w:rsidRPr="00B5646D">
              <w:rPr>
                <w:sz w:val="20"/>
                <w:szCs w:val="20"/>
              </w:rPr>
              <w:t xml:space="preserve"> after the end of 2024/25</w:t>
            </w:r>
          </w:p>
        </w:tc>
        <w:tc>
          <w:tcPr>
            <w:tcW w:w="4771" w:type="dxa"/>
            <w:shd w:val="clear" w:color="auto" w:fill="auto"/>
          </w:tcPr>
          <w:p w14:paraId="61B64C0B" w14:textId="03166E7F" w:rsidR="007E6448" w:rsidRPr="007E6448" w:rsidRDefault="007E6448" w:rsidP="007E6448">
            <w:pPr>
              <w:rPr>
                <w:sz w:val="20"/>
                <w:szCs w:val="20"/>
              </w:rPr>
            </w:pPr>
            <w:r w:rsidRPr="007E6448">
              <w:rPr>
                <w:sz w:val="20"/>
                <w:szCs w:val="20"/>
              </w:rPr>
              <w:t xml:space="preserve">Pharmacy owners must send a copy of their </w:t>
            </w:r>
            <w:hyperlink r:id="rId12" w:history="1">
              <w:r w:rsidRPr="001640B2">
                <w:rPr>
                  <w:rStyle w:val="Hyperlink"/>
                  <w:sz w:val="20"/>
                  <w:szCs w:val="20"/>
                </w:rPr>
                <w:t>annual complaints report</w:t>
              </w:r>
            </w:hyperlink>
            <w:r w:rsidRPr="007E6448">
              <w:rPr>
                <w:sz w:val="20"/>
                <w:szCs w:val="20"/>
              </w:rPr>
              <w:t xml:space="preserve"> to the local NHS contract management team as soon as reasonably practicable after the end of the year to which the report relates.</w:t>
            </w:r>
            <w:r w:rsidR="00CF3097">
              <w:rPr>
                <w:sz w:val="20"/>
                <w:szCs w:val="20"/>
              </w:rPr>
              <w:t xml:space="preserve">  </w:t>
            </w:r>
            <w:r w:rsidRPr="007E6448">
              <w:rPr>
                <w:sz w:val="20"/>
                <w:szCs w:val="20"/>
              </w:rPr>
              <w:t xml:space="preserve">This is a </w:t>
            </w:r>
            <w:r w:rsidRPr="00CF3097">
              <w:rPr>
                <w:b/>
                <w:bCs/>
                <w:sz w:val="20"/>
                <w:szCs w:val="20"/>
              </w:rPr>
              <w:t>mandatory requirement</w:t>
            </w:r>
            <w:r w:rsidRPr="007E6448">
              <w:rPr>
                <w:sz w:val="20"/>
                <w:szCs w:val="20"/>
              </w:rPr>
              <w:t xml:space="preserve"> for all pharmacy owners. </w:t>
            </w:r>
          </w:p>
          <w:p w14:paraId="29902C3F" w14:textId="77777777" w:rsidR="007E6448" w:rsidRPr="007E6448" w:rsidRDefault="007E6448" w:rsidP="007E6448">
            <w:pPr>
              <w:rPr>
                <w:sz w:val="20"/>
                <w:szCs w:val="20"/>
              </w:rPr>
            </w:pPr>
          </w:p>
          <w:p w14:paraId="4810D14D" w14:textId="1AFE3618" w:rsidR="007E6448" w:rsidRPr="00944C3B" w:rsidRDefault="007E6448" w:rsidP="007E6448">
            <w:pPr>
              <w:rPr>
                <w:sz w:val="20"/>
                <w:szCs w:val="20"/>
              </w:rPr>
            </w:pPr>
            <w:r w:rsidRPr="00CF3097">
              <w:rPr>
                <w:b/>
                <w:bCs/>
                <w:sz w:val="20"/>
                <w:szCs w:val="20"/>
              </w:rPr>
              <w:t>Action:</w:t>
            </w:r>
            <w:r w:rsidRPr="007E6448">
              <w:rPr>
                <w:sz w:val="20"/>
                <w:szCs w:val="20"/>
              </w:rPr>
              <w:t xml:space="preserve"> Send the annual complaints report to the local NHS contract management team.</w:t>
            </w:r>
          </w:p>
        </w:tc>
      </w:tr>
      <w:tr w:rsidR="007E6448" w:rsidRPr="005D7585" w14:paraId="681E2F73" w14:textId="77777777" w:rsidTr="00886184">
        <w:tc>
          <w:tcPr>
            <w:tcW w:w="1692" w:type="dxa"/>
            <w:shd w:val="clear" w:color="auto" w:fill="auto"/>
          </w:tcPr>
          <w:p w14:paraId="1C1754F8" w14:textId="221C66DF" w:rsidR="007E6448" w:rsidRDefault="00805A56">
            <w:pPr>
              <w:rPr>
                <w:sz w:val="20"/>
                <w:szCs w:val="20"/>
              </w:rPr>
            </w:pPr>
            <w:r>
              <w:rPr>
                <w:sz w:val="20"/>
                <w:szCs w:val="20"/>
              </w:rPr>
              <w:t>May Ban</w:t>
            </w:r>
            <w:r w:rsidR="007E6448">
              <w:rPr>
                <w:sz w:val="20"/>
                <w:szCs w:val="20"/>
              </w:rPr>
              <w:t>k Holiday</w:t>
            </w:r>
          </w:p>
        </w:tc>
        <w:tc>
          <w:tcPr>
            <w:tcW w:w="1837" w:type="dxa"/>
            <w:shd w:val="clear" w:color="auto" w:fill="auto"/>
          </w:tcPr>
          <w:p w14:paraId="462371D4" w14:textId="56D39531" w:rsidR="007E6448" w:rsidRDefault="00987918">
            <w:pPr>
              <w:rPr>
                <w:sz w:val="20"/>
                <w:szCs w:val="20"/>
              </w:rPr>
            </w:pPr>
            <w:r>
              <w:rPr>
                <w:sz w:val="20"/>
                <w:szCs w:val="20"/>
              </w:rPr>
              <w:t>Information and support</w:t>
            </w:r>
          </w:p>
        </w:tc>
        <w:tc>
          <w:tcPr>
            <w:tcW w:w="1193" w:type="dxa"/>
            <w:shd w:val="clear" w:color="auto" w:fill="auto"/>
          </w:tcPr>
          <w:p w14:paraId="58D2B3A5" w14:textId="61B5D9AE" w:rsidR="007E6448" w:rsidRDefault="004E6A74">
            <w:pPr>
              <w:rPr>
                <w:sz w:val="20"/>
                <w:szCs w:val="20"/>
              </w:rPr>
            </w:pPr>
            <w:r>
              <w:rPr>
                <w:sz w:val="20"/>
                <w:szCs w:val="20"/>
              </w:rPr>
              <w:t>Now</w:t>
            </w:r>
          </w:p>
        </w:tc>
        <w:tc>
          <w:tcPr>
            <w:tcW w:w="4771" w:type="dxa"/>
            <w:shd w:val="clear" w:color="auto" w:fill="auto"/>
          </w:tcPr>
          <w:p w14:paraId="098D6BF4" w14:textId="4129C082" w:rsidR="00234E73" w:rsidRDefault="00234E73" w:rsidP="00944C3B">
            <w:pPr>
              <w:rPr>
                <w:sz w:val="20"/>
                <w:szCs w:val="20"/>
              </w:rPr>
            </w:pPr>
            <w:r w:rsidRPr="00234E73">
              <w:rPr>
                <w:sz w:val="20"/>
                <w:szCs w:val="20"/>
              </w:rPr>
              <w:t>P</w:t>
            </w:r>
            <w:r>
              <w:rPr>
                <w:sz w:val="20"/>
                <w:szCs w:val="20"/>
              </w:rPr>
              <w:t>lease</w:t>
            </w:r>
            <w:r w:rsidRPr="00234E73">
              <w:rPr>
                <w:sz w:val="20"/>
                <w:szCs w:val="20"/>
              </w:rPr>
              <w:t xml:space="preserve"> ensure that </w:t>
            </w:r>
            <w:r>
              <w:rPr>
                <w:sz w:val="20"/>
                <w:szCs w:val="20"/>
              </w:rPr>
              <w:t>your</w:t>
            </w:r>
            <w:r w:rsidRPr="00234E73">
              <w:rPr>
                <w:sz w:val="20"/>
                <w:szCs w:val="20"/>
              </w:rPr>
              <w:t xml:space="preserve">  </w:t>
            </w:r>
            <w:hyperlink r:id="rId13" w:history="1">
              <w:r w:rsidR="00520514" w:rsidRPr="00520514">
                <w:rPr>
                  <w:rStyle w:val="Hyperlink"/>
                  <w:sz w:val="20"/>
                  <w:szCs w:val="20"/>
                </w:rPr>
                <w:t>NHS Profile Manager</w:t>
              </w:r>
            </w:hyperlink>
            <w:r w:rsidR="00520514">
              <w:rPr>
                <w:sz w:val="20"/>
                <w:szCs w:val="20"/>
              </w:rPr>
              <w:t xml:space="preserve"> </w:t>
            </w:r>
            <w:r w:rsidRPr="00234E73">
              <w:rPr>
                <w:sz w:val="20"/>
                <w:szCs w:val="20"/>
              </w:rPr>
              <w:t xml:space="preserve">are updated with </w:t>
            </w:r>
            <w:r>
              <w:rPr>
                <w:sz w:val="20"/>
                <w:szCs w:val="20"/>
              </w:rPr>
              <w:t>your</w:t>
            </w:r>
            <w:r w:rsidRPr="00234E73">
              <w:rPr>
                <w:sz w:val="20"/>
                <w:szCs w:val="20"/>
              </w:rPr>
              <w:t xml:space="preserve"> opening hours (or if you are closed) on the Bank Holiday over Easter 2025.  </w:t>
            </w:r>
          </w:p>
          <w:p w14:paraId="4F42B7DE" w14:textId="77777777" w:rsidR="00EB0AE6" w:rsidRDefault="00EB0AE6" w:rsidP="00944C3B">
            <w:pPr>
              <w:rPr>
                <w:sz w:val="20"/>
                <w:szCs w:val="20"/>
              </w:rPr>
            </w:pPr>
          </w:p>
          <w:p w14:paraId="52146A5D" w14:textId="30B40F09" w:rsidR="00EB0AE6" w:rsidRDefault="001E1DAC" w:rsidP="00944C3B">
            <w:pPr>
              <w:rPr>
                <w:sz w:val="20"/>
                <w:szCs w:val="20"/>
              </w:rPr>
            </w:pPr>
            <w:r>
              <w:rPr>
                <w:sz w:val="20"/>
                <w:szCs w:val="20"/>
              </w:rPr>
              <w:t xml:space="preserve">Email </w:t>
            </w:r>
            <w:r w:rsidR="006B7E56">
              <w:rPr>
                <w:sz w:val="20"/>
                <w:szCs w:val="20"/>
              </w:rPr>
              <w:t>queries to:</w:t>
            </w:r>
          </w:p>
          <w:p w14:paraId="5C6EB870" w14:textId="0EEDC111" w:rsidR="00EB0AE6" w:rsidRDefault="00EB0AE6" w:rsidP="00944C3B">
            <w:pPr>
              <w:rPr>
                <w:sz w:val="20"/>
                <w:szCs w:val="20"/>
              </w:rPr>
            </w:pPr>
            <w:r>
              <w:rPr>
                <w:sz w:val="20"/>
                <w:szCs w:val="20"/>
              </w:rPr>
              <w:t>frimleyicb.southeastcommunitypharmacy@nhs.net</w:t>
            </w:r>
          </w:p>
          <w:p w14:paraId="2642B4C8" w14:textId="6D6A8A94" w:rsidR="00B602C0" w:rsidRPr="00944C3B" w:rsidRDefault="00B602C0" w:rsidP="00944C3B">
            <w:pPr>
              <w:rPr>
                <w:sz w:val="20"/>
                <w:szCs w:val="20"/>
              </w:rPr>
            </w:pPr>
          </w:p>
        </w:tc>
      </w:tr>
      <w:tr w:rsidR="008D7F0F" w:rsidRPr="005D7585" w14:paraId="70FF08B1" w14:textId="77777777" w:rsidTr="008D7F0F">
        <w:tc>
          <w:tcPr>
            <w:tcW w:w="1692" w:type="dxa"/>
          </w:tcPr>
          <w:p w14:paraId="4D4F3051" w14:textId="77777777" w:rsidR="008D7F0F" w:rsidRPr="005D7585" w:rsidRDefault="008D7F0F" w:rsidP="00861ED4">
            <w:pPr>
              <w:rPr>
                <w:sz w:val="20"/>
                <w:szCs w:val="20"/>
              </w:rPr>
            </w:pPr>
            <w:r>
              <w:rPr>
                <w:sz w:val="20"/>
                <w:szCs w:val="20"/>
              </w:rPr>
              <w:t>End of month claiming</w:t>
            </w:r>
          </w:p>
        </w:tc>
        <w:tc>
          <w:tcPr>
            <w:tcW w:w="1837" w:type="dxa"/>
          </w:tcPr>
          <w:p w14:paraId="71FD5F8D" w14:textId="77777777" w:rsidR="008D7F0F" w:rsidRPr="005D7585" w:rsidRDefault="008D7F0F" w:rsidP="00861ED4">
            <w:pPr>
              <w:rPr>
                <w:sz w:val="20"/>
                <w:szCs w:val="20"/>
              </w:rPr>
            </w:pPr>
            <w:r>
              <w:rPr>
                <w:sz w:val="20"/>
                <w:szCs w:val="20"/>
              </w:rPr>
              <w:t>Pharmacy Income</w:t>
            </w:r>
          </w:p>
        </w:tc>
        <w:tc>
          <w:tcPr>
            <w:tcW w:w="1193" w:type="dxa"/>
          </w:tcPr>
          <w:p w14:paraId="2047930B" w14:textId="77777777" w:rsidR="008D7F0F" w:rsidRPr="005D7585" w:rsidRDefault="008D7F0F" w:rsidP="00861ED4">
            <w:pPr>
              <w:rPr>
                <w:sz w:val="20"/>
                <w:szCs w:val="20"/>
              </w:rPr>
            </w:pPr>
            <w:r>
              <w:rPr>
                <w:sz w:val="20"/>
                <w:szCs w:val="20"/>
              </w:rPr>
              <w:t>6</w:t>
            </w:r>
            <w:r w:rsidRPr="00317AAB">
              <w:rPr>
                <w:sz w:val="20"/>
                <w:szCs w:val="20"/>
                <w:vertAlign w:val="superscript"/>
              </w:rPr>
              <w:t>th</w:t>
            </w:r>
            <w:r>
              <w:rPr>
                <w:sz w:val="20"/>
                <w:szCs w:val="20"/>
              </w:rPr>
              <w:t xml:space="preserve"> May</w:t>
            </w:r>
          </w:p>
        </w:tc>
        <w:tc>
          <w:tcPr>
            <w:tcW w:w="4771" w:type="dxa"/>
          </w:tcPr>
          <w:p w14:paraId="74E0D958" w14:textId="77777777" w:rsidR="008D7F0F" w:rsidRPr="005D7585" w:rsidRDefault="008D7F0F" w:rsidP="00861ED4">
            <w:pPr>
              <w:rPr>
                <w:sz w:val="20"/>
                <w:szCs w:val="20"/>
              </w:rPr>
            </w:pPr>
            <w:r>
              <w:rPr>
                <w:sz w:val="20"/>
                <w:szCs w:val="20"/>
              </w:rPr>
              <w:t xml:space="preserve">To support pharmacy teams with completion of their end of month tasks we have attached a </w:t>
            </w:r>
            <w:hyperlink r:id="rId14" w:history="1">
              <w:r w:rsidRPr="00C2716F">
                <w:rPr>
                  <w:rStyle w:val="Hyperlink"/>
                  <w:sz w:val="20"/>
                  <w:szCs w:val="20"/>
                </w:rPr>
                <w:t>template</w:t>
              </w:r>
            </w:hyperlink>
            <w:r>
              <w:rPr>
                <w:sz w:val="20"/>
                <w:szCs w:val="20"/>
              </w:rPr>
              <w:t xml:space="preserve"> for pharmacy use.  For information on nationally commissioned services see </w:t>
            </w:r>
            <w:hyperlink r:id="rId15" w:history="1">
              <w:r w:rsidRPr="00885470">
                <w:rPr>
                  <w:rStyle w:val="Hyperlink"/>
                  <w:sz w:val="20"/>
                  <w:szCs w:val="20"/>
                </w:rPr>
                <w:t>Payment timetable and deadline tracker</w:t>
              </w:r>
            </w:hyperlink>
            <w:r>
              <w:t>.</w:t>
            </w:r>
          </w:p>
        </w:tc>
      </w:tr>
      <w:tr w:rsidR="00193F80" w:rsidRPr="005D7585" w14:paraId="77967FF9" w14:textId="77777777" w:rsidTr="00886184">
        <w:tc>
          <w:tcPr>
            <w:tcW w:w="1692" w:type="dxa"/>
            <w:shd w:val="clear" w:color="auto" w:fill="auto"/>
          </w:tcPr>
          <w:p w14:paraId="397A275B" w14:textId="619A05E3" w:rsidR="00193F80" w:rsidRPr="005D7585" w:rsidRDefault="00746511">
            <w:pPr>
              <w:rPr>
                <w:sz w:val="20"/>
                <w:szCs w:val="20"/>
              </w:rPr>
            </w:pPr>
            <w:r>
              <w:rPr>
                <w:sz w:val="20"/>
                <w:szCs w:val="20"/>
              </w:rPr>
              <w:t>Pharmacy NHS mailbox</w:t>
            </w:r>
          </w:p>
        </w:tc>
        <w:tc>
          <w:tcPr>
            <w:tcW w:w="1837" w:type="dxa"/>
            <w:shd w:val="clear" w:color="auto" w:fill="auto"/>
          </w:tcPr>
          <w:p w14:paraId="1E448F19" w14:textId="491CD3FA" w:rsidR="00193F80" w:rsidRPr="005D7585" w:rsidRDefault="00746511">
            <w:pPr>
              <w:rPr>
                <w:sz w:val="20"/>
                <w:szCs w:val="20"/>
              </w:rPr>
            </w:pPr>
            <w:r>
              <w:rPr>
                <w:sz w:val="20"/>
                <w:szCs w:val="20"/>
              </w:rPr>
              <w:t>Information and support</w:t>
            </w:r>
          </w:p>
        </w:tc>
        <w:tc>
          <w:tcPr>
            <w:tcW w:w="1193" w:type="dxa"/>
            <w:shd w:val="clear" w:color="auto" w:fill="auto"/>
          </w:tcPr>
          <w:p w14:paraId="47327F09" w14:textId="750FE508" w:rsidR="00193F80" w:rsidRPr="005D7585" w:rsidRDefault="00746511">
            <w:pPr>
              <w:rPr>
                <w:sz w:val="20"/>
                <w:szCs w:val="20"/>
              </w:rPr>
            </w:pPr>
            <w:r>
              <w:rPr>
                <w:sz w:val="20"/>
                <w:szCs w:val="20"/>
              </w:rPr>
              <w:t>Now</w:t>
            </w:r>
          </w:p>
        </w:tc>
        <w:tc>
          <w:tcPr>
            <w:tcW w:w="4771" w:type="dxa"/>
            <w:shd w:val="clear" w:color="auto" w:fill="auto"/>
          </w:tcPr>
          <w:p w14:paraId="774044A6" w14:textId="030414A9" w:rsidR="00193F80" w:rsidRPr="005D7585" w:rsidRDefault="00EE0077">
            <w:pPr>
              <w:rPr>
                <w:sz w:val="20"/>
                <w:szCs w:val="20"/>
              </w:rPr>
            </w:pPr>
            <w:r>
              <w:rPr>
                <w:sz w:val="20"/>
                <w:szCs w:val="20"/>
              </w:rPr>
              <w:t>En</w:t>
            </w:r>
            <w:r w:rsidR="00746511">
              <w:rPr>
                <w:sz w:val="20"/>
                <w:szCs w:val="20"/>
              </w:rPr>
              <w:t xml:space="preserve">sure at least 2 staff have linked NHS emails to your pharmacy shared NHS Mailbox.  </w:t>
            </w:r>
            <w:hyperlink r:id="rId16" w:history="1">
              <w:r w:rsidR="00746511" w:rsidRPr="00B56BF1">
                <w:rPr>
                  <w:rStyle w:val="Hyperlink"/>
                  <w:sz w:val="20"/>
                  <w:szCs w:val="20"/>
                </w:rPr>
                <w:t>How to information here</w:t>
              </w:r>
            </w:hyperlink>
          </w:p>
        </w:tc>
      </w:tr>
      <w:tr w:rsidR="00193F80" w:rsidRPr="005D7585" w14:paraId="5120EDCD" w14:textId="77777777" w:rsidTr="00886184">
        <w:tc>
          <w:tcPr>
            <w:tcW w:w="1692" w:type="dxa"/>
            <w:shd w:val="clear" w:color="auto" w:fill="auto"/>
          </w:tcPr>
          <w:p w14:paraId="68A569E5" w14:textId="4FFCCC86" w:rsidR="00193F80" w:rsidRPr="005D7585" w:rsidRDefault="00072AF7">
            <w:pPr>
              <w:rPr>
                <w:sz w:val="20"/>
                <w:szCs w:val="20"/>
              </w:rPr>
            </w:pPr>
            <w:proofErr w:type="spellStart"/>
            <w:r>
              <w:rPr>
                <w:sz w:val="20"/>
                <w:szCs w:val="20"/>
              </w:rPr>
              <w:t>PharmOutcomes</w:t>
            </w:r>
            <w:proofErr w:type="spellEnd"/>
            <w:r>
              <w:rPr>
                <w:sz w:val="20"/>
                <w:szCs w:val="20"/>
              </w:rPr>
              <w:t xml:space="preserve"> Access</w:t>
            </w:r>
          </w:p>
        </w:tc>
        <w:tc>
          <w:tcPr>
            <w:tcW w:w="1837" w:type="dxa"/>
            <w:shd w:val="clear" w:color="auto" w:fill="auto"/>
          </w:tcPr>
          <w:p w14:paraId="2CDC56B3" w14:textId="7C98764E" w:rsidR="00193F80" w:rsidRPr="005D7585" w:rsidRDefault="00072AF7">
            <w:pPr>
              <w:rPr>
                <w:sz w:val="20"/>
                <w:szCs w:val="20"/>
              </w:rPr>
            </w:pPr>
            <w:r>
              <w:rPr>
                <w:sz w:val="20"/>
                <w:szCs w:val="20"/>
              </w:rPr>
              <w:t>Information and support</w:t>
            </w:r>
          </w:p>
        </w:tc>
        <w:tc>
          <w:tcPr>
            <w:tcW w:w="1193" w:type="dxa"/>
            <w:shd w:val="clear" w:color="auto" w:fill="auto"/>
          </w:tcPr>
          <w:p w14:paraId="1BF6E912" w14:textId="78B267AD" w:rsidR="00193F80" w:rsidRPr="005D7585" w:rsidRDefault="00072AF7">
            <w:pPr>
              <w:rPr>
                <w:sz w:val="20"/>
                <w:szCs w:val="20"/>
              </w:rPr>
            </w:pPr>
            <w:r>
              <w:rPr>
                <w:sz w:val="20"/>
                <w:szCs w:val="20"/>
              </w:rPr>
              <w:t>Now</w:t>
            </w:r>
          </w:p>
        </w:tc>
        <w:tc>
          <w:tcPr>
            <w:tcW w:w="4771" w:type="dxa"/>
            <w:shd w:val="clear" w:color="auto" w:fill="auto"/>
          </w:tcPr>
          <w:p w14:paraId="6A581B6C" w14:textId="0120DC68" w:rsidR="00193F80" w:rsidRPr="005D7585" w:rsidRDefault="00072AF7">
            <w:pPr>
              <w:rPr>
                <w:sz w:val="20"/>
                <w:szCs w:val="20"/>
              </w:rPr>
            </w:pPr>
            <w:r>
              <w:rPr>
                <w:sz w:val="20"/>
                <w:szCs w:val="20"/>
              </w:rPr>
              <w:t xml:space="preserve">Check that pharmacy staff have access to </w:t>
            </w:r>
            <w:proofErr w:type="spellStart"/>
            <w:r>
              <w:rPr>
                <w:sz w:val="20"/>
                <w:szCs w:val="20"/>
              </w:rPr>
              <w:t>PharmOutcome</w:t>
            </w:r>
            <w:r w:rsidR="00EE0077">
              <w:rPr>
                <w:sz w:val="20"/>
                <w:szCs w:val="20"/>
              </w:rPr>
              <w:t>s</w:t>
            </w:r>
            <w:proofErr w:type="spellEnd"/>
            <w:r>
              <w:rPr>
                <w:sz w:val="20"/>
                <w:szCs w:val="20"/>
              </w:rPr>
              <w:t xml:space="preserve"> during all opening times, especially </w:t>
            </w:r>
            <w:r>
              <w:rPr>
                <w:sz w:val="20"/>
                <w:szCs w:val="20"/>
              </w:rPr>
              <w:lastRenderedPageBreak/>
              <w:t xml:space="preserve">when locums are on duty; set up additional account if needed.  </w:t>
            </w:r>
            <w:r w:rsidR="00EE0077">
              <w:rPr>
                <w:sz w:val="20"/>
                <w:szCs w:val="20"/>
              </w:rPr>
              <w:t>See</w:t>
            </w:r>
            <w:hyperlink r:id="rId17" w:history="1">
              <w:r w:rsidRPr="00B154EA">
                <w:rPr>
                  <w:rStyle w:val="Hyperlink"/>
                  <w:sz w:val="20"/>
                  <w:szCs w:val="20"/>
                </w:rPr>
                <w:t xml:space="preserve"> here</w:t>
              </w:r>
            </w:hyperlink>
            <w:r w:rsidR="00EE0077">
              <w:t xml:space="preserve"> </w:t>
            </w:r>
            <w:r w:rsidR="00EE0077" w:rsidRPr="00EE0077">
              <w:rPr>
                <w:sz w:val="20"/>
                <w:szCs w:val="20"/>
              </w:rPr>
              <w:t>for instructions</w:t>
            </w:r>
            <w:r w:rsidR="00EE0077">
              <w:t>.</w:t>
            </w:r>
          </w:p>
        </w:tc>
      </w:tr>
      <w:tr w:rsidR="00BF5676" w:rsidRPr="005D7585" w14:paraId="3A69DF98" w14:textId="77777777" w:rsidTr="00886184">
        <w:tc>
          <w:tcPr>
            <w:tcW w:w="1692" w:type="dxa"/>
            <w:shd w:val="clear" w:color="auto" w:fill="auto"/>
          </w:tcPr>
          <w:p w14:paraId="12E2F13B" w14:textId="4D7AD1F9" w:rsidR="00BF5676" w:rsidRDefault="002750A5">
            <w:pPr>
              <w:rPr>
                <w:sz w:val="20"/>
                <w:szCs w:val="20"/>
              </w:rPr>
            </w:pPr>
            <w:r>
              <w:rPr>
                <w:sz w:val="20"/>
                <w:szCs w:val="20"/>
              </w:rPr>
              <w:lastRenderedPageBreak/>
              <w:t>D</w:t>
            </w:r>
            <w:r w:rsidR="00025D6C">
              <w:rPr>
                <w:sz w:val="20"/>
                <w:szCs w:val="20"/>
              </w:rPr>
              <w:t>ata Security and Protection Toolkit</w:t>
            </w:r>
          </w:p>
        </w:tc>
        <w:tc>
          <w:tcPr>
            <w:tcW w:w="1837" w:type="dxa"/>
            <w:shd w:val="clear" w:color="auto" w:fill="auto"/>
          </w:tcPr>
          <w:p w14:paraId="274D13A4" w14:textId="3FE5881B" w:rsidR="00BF5676" w:rsidRDefault="005A6540">
            <w:pPr>
              <w:rPr>
                <w:sz w:val="20"/>
                <w:szCs w:val="20"/>
              </w:rPr>
            </w:pPr>
            <w:r>
              <w:rPr>
                <w:sz w:val="20"/>
                <w:szCs w:val="20"/>
              </w:rPr>
              <w:t>Information and support</w:t>
            </w:r>
          </w:p>
        </w:tc>
        <w:tc>
          <w:tcPr>
            <w:tcW w:w="1193" w:type="dxa"/>
            <w:shd w:val="clear" w:color="auto" w:fill="auto"/>
          </w:tcPr>
          <w:p w14:paraId="52F73EB0" w14:textId="228AF954" w:rsidR="00BF5676" w:rsidRDefault="00025D6C">
            <w:pPr>
              <w:rPr>
                <w:sz w:val="20"/>
                <w:szCs w:val="20"/>
              </w:rPr>
            </w:pPr>
            <w:r>
              <w:rPr>
                <w:sz w:val="20"/>
                <w:szCs w:val="20"/>
              </w:rPr>
              <w:t xml:space="preserve">June </w:t>
            </w:r>
          </w:p>
        </w:tc>
        <w:tc>
          <w:tcPr>
            <w:tcW w:w="4771" w:type="dxa"/>
            <w:shd w:val="clear" w:color="auto" w:fill="auto"/>
          </w:tcPr>
          <w:p w14:paraId="722CC40B" w14:textId="06F5F6DA" w:rsidR="00BF5676" w:rsidRDefault="00025D6C">
            <w:pPr>
              <w:rPr>
                <w:sz w:val="20"/>
                <w:szCs w:val="20"/>
              </w:rPr>
            </w:pPr>
            <w:r>
              <w:rPr>
                <w:sz w:val="20"/>
                <w:szCs w:val="20"/>
              </w:rPr>
              <w:t>Complete DSP by 30</w:t>
            </w:r>
            <w:r w:rsidRPr="00025D6C">
              <w:rPr>
                <w:sz w:val="20"/>
                <w:szCs w:val="20"/>
                <w:vertAlign w:val="superscript"/>
              </w:rPr>
              <w:t>th</w:t>
            </w:r>
            <w:r>
              <w:rPr>
                <w:sz w:val="20"/>
                <w:szCs w:val="20"/>
              </w:rPr>
              <w:t xml:space="preserve"> June – see </w:t>
            </w:r>
            <w:hyperlink r:id="rId18" w:history="1">
              <w:r w:rsidRPr="00025D6C">
                <w:rPr>
                  <w:rStyle w:val="Hyperlink"/>
                  <w:sz w:val="20"/>
                  <w:szCs w:val="20"/>
                </w:rPr>
                <w:t>here</w:t>
              </w:r>
            </w:hyperlink>
            <w:r>
              <w:rPr>
                <w:sz w:val="20"/>
                <w:szCs w:val="20"/>
              </w:rPr>
              <w:t xml:space="preserve"> for guidance on how to complete.  </w:t>
            </w:r>
            <w:hyperlink r:id="rId19" w:history="1">
              <w:r w:rsidRPr="00025D6C">
                <w:rPr>
                  <w:rStyle w:val="Hyperlink"/>
                  <w:sz w:val="20"/>
                  <w:szCs w:val="20"/>
                </w:rPr>
                <w:t xml:space="preserve"> </w:t>
              </w:r>
              <w:r>
                <w:rPr>
                  <w:rStyle w:val="Hyperlink"/>
                  <w:sz w:val="20"/>
                  <w:szCs w:val="20"/>
                </w:rPr>
                <w:t xml:space="preserve">DSP on </w:t>
              </w:r>
              <w:r w:rsidRPr="00025D6C">
                <w:rPr>
                  <w:rStyle w:val="Hyperlink"/>
                  <w:sz w:val="20"/>
                  <w:szCs w:val="20"/>
                </w:rPr>
                <w:t>demand webinar</w:t>
              </w:r>
            </w:hyperlink>
            <w:r>
              <w:rPr>
                <w:sz w:val="20"/>
                <w:szCs w:val="20"/>
              </w:rPr>
              <w:t>.</w:t>
            </w:r>
          </w:p>
        </w:tc>
      </w:tr>
    </w:tbl>
    <w:p w14:paraId="11D6A7DC" w14:textId="6BF2B659" w:rsidR="00EE21EE" w:rsidRPr="00EE21EE" w:rsidRDefault="00EE21EE" w:rsidP="00EE21EE">
      <w:pPr>
        <w:rPr>
          <w:sz w:val="20"/>
          <w:szCs w:val="20"/>
        </w:rPr>
      </w:pPr>
    </w:p>
    <w:p w14:paraId="4AE5B2E8" w14:textId="5D5EE0BF" w:rsidR="00EE21EE" w:rsidRPr="00EE21EE" w:rsidRDefault="00EE21EE" w:rsidP="00EE21EE">
      <w:pPr>
        <w:rPr>
          <w:sz w:val="20"/>
          <w:szCs w:val="20"/>
        </w:rPr>
      </w:pPr>
      <w:r w:rsidRPr="00EE21EE">
        <w:rPr>
          <w:sz w:val="20"/>
          <w:szCs w:val="20"/>
        </w:rPr>
        <w:t>If you require support from CP</w:t>
      </w:r>
      <w:r w:rsidR="00D075E1">
        <w:rPr>
          <w:sz w:val="20"/>
          <w:szCs w:val="20"/>
        </w:rPr>
        <w:t xml:space="preserve">TV </w:t>
      </w:r>
      <w:r w:rsidRPr="00EE21EE">
        <w:rPr>
          <w:sz w:val="20"/>
          <w:szCs w:val="20"/>
        </w:rPr>
        <w:t xml:space="preserve">please contact us: </w:t>
      </w:r>
    </w:p>
    <w:p w14:paraId="690D4259" w14:textId="4ED9DDC9" w:rsidR="00EE21EE" w:rsidRPr="00EE21EE" w:rsidRDefault="00D075E1" w:rsidP="00851BAE">
      <w:pPr>
        <w:spacing w:after="0" w:line="240" w:lineRule="auto"/>
        <w:rPr>
          <w:sz w:val="20"/>
          <w:szCs w:val="20"/>
        </w:rPr>
      </w:pPr>
      <w:r>
        <w:rPr>
          <w:sz w:val="20"/>
          <w:szCs w:val="20"/>
        </w:rPr>
        <w:t xml:space="preserve">David Dean </w:t>
      </w:r>
      <w:r w:rsidR="00EE21EE" w:rsidRPr="00EE21EE">
        <w:rPr>
          <w:sz w:val="20"/>
          <w:szCs w:val="20"/>
        </w:rPr>
        <w:t xml:space="preserve">(Chief Officer)  </w:t>
      </w:r>
    </w:p>
    <w:p w14:paraId="3CB748E4" w14:textId="0B5C3D4E" w:rsidR="00EE21EE" w:rsidRDefault="00D075E1" w:rsidP="00851BAE">
      <w:pPr>
        <w:spacing w:after="0" w:line="240" w:lineRule="auto"/>
        <w:rPr>
          <w:sz w:val="20"/>
          <w:szCs w:val="20"/>
        </w:rPr>
      </w:pPr>
      <w:r>
        <w:rPr>
          <w:sz w:val="20"/>
          <w:szCs w:val="20"/>
        </w:rPr>
        <w:t>Kevin Barnes (Contractor Services Officer)</w:t>
      </w:r>
    </w:p>
    <w:p w14:paraId="5E7436A2" w14:textId="3E1F7C51" w:rsidR="00EE21EE" w:rsidRPr="00EE21EE" w:rsidRDefault="00D075E1" w:rsidP="00851BAE">
      <w:pPr>
        <w:spacing w:after="0" w:line="240" w:lineRule="auto"/>
        <w:rPr>
          <w:sz w:val="20"/>
          <w:szCs w:val="20"/>
        </w:rPr>
      </w:pPr>
      <w:r>
        <w:rPr>
          <w:sz w:val="20"/>
          <w:szCs w:val="20"/>
        </w:rPr>
        <w:t>Lorna Girling (Engagement Officer)</w:t>
      </w:r>
    </w:p>
    <w:p w14:paraId="392FE198" w14:textId="2307BED0" w:rsidR="00EE21EE" w:rsidRPr="00EE21EE" w:rsidRDefault="00EE21EE" w:rsidP="00851BAE">
      <w:pPr>
        <w:spacing w:after="0" w:line="240" w:lineRule="auto"/>
        <w:rPr>
          <w:sz w:val="20"/>
          <w:szCs w:val="20"/>
        </w:rPr>
      </w:pPr>
      <w:r w:rsidRPr="00EE21EE">
        <w:rPr>
          <w:sz w:val="20"/>
          <w:szCs w:val="20"/>
        </w:rPr>
        <w:t xml:space="preserve"> </w:t>
      </w:r>
    </w:p>
    <w:p w14:paraId="7CEE5DE8" w14:textId="3A6EF46F" w:rsidR="00EE21EE" w:rsidRPr="00EE21EE" w:rsidRDefault="00EE21EE" w:rsidP="00851BAE">
      <w:pPr>
        <w:spacing w:after="0" w:line="240" w:lineRule="auto"/>
        <w:rPr>
          <w:sz w:val="20"/>
          <w:szCs w:val="20"/>
        </w:rPr>
      </w:pPr>
      <w:r w:rsidRPr="00EE21EE">
        <w:rPr>
          <w:sz w:val="20"/>
          <w:szCs w:val="20"/>
        </w:rPr>
        <w:t>Visit our website    www.cp</w:t>
      </w:r>
      <w:r w:rsidR="00D075E1">
        <w:rPr>
          <w:sz w:val="20"/>
          <w:szCs w:val="20"/>
        </w:rPr>
        <w:t>tv</w:t>
      </w:r>
      <w:r w:rsidRPr="00EE21EE">
        <w:rPr>
          <w:sz w:val="20"/>
          <w:szCs w:val="20"/>
        </w:rPr>
        <w:t xml:space="preserve">.org.uk </w:t>
      </w:r>
    </w:p>
    <w:p w14:paraId="05EC4FA2" w14:textId="3FE32F4C" w:rsidR="0088228F" w:rsidRPr="005D7585" w:rsidRDefault="00700559" w:rsidP="00700559">
      <w:pPr>
        <w:spacing w:after="0" w:line="240" w:lineRule="auto"/>
        <w:rPr>
          <w:sz w:val="20"/>
          <w:szCs w:val="20"/>
        </w:rPr>
      </w:pPr>
      <w:r w:rsidRPr="00700559">
        <w:rPr>
          <w:sz w:val="20"/>
          <w:szCs w:val="20"/>
        </w:rPr>
        <w:t>Disclaimer: This guidance has been prepared by Community Pharmacy Thames Valley based on the information available to us. While every effort has been made to ensure the accuracy of the tracker, we cannot accept responsibility for any errors or the consequences that may result from them.</w:t>
      </w:r>
    </w:p>
    <w:sectPr w:rsidR="0088228F" w:rsidRPr="005D7585">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5D23" w14:textId="77777777" w:rsidR="00960D5D" w:rsidRDefault="00960D5D" w:rsidP="00DD502B">
      <w:pPr>
        <w:spacing w:after="0" w:line="240" w:lineRule="auto"/>
      </w:pPr>
      <w:r>
        <w:separator/>
      </w:r>
    </w:p>
  </w:endnote>
  <w:endnote w:type="continuationSeparator" w:id="0">
    <w:p w14:paraId="23AEFBB1" w14:textId="77777777" w:rsidR="00960D5D" w:rsidRDefault="00960D5D" w:rsidP="00DD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12D8" w14:textId="77777777" w:rsidR="00960D5D" w:rsidRDefault="00960D5D" w:rsidP="00DD502B">
      <w:pPr>
        <w:spacing w:after="0" w:line="240" w:lineRule="auto"/>
      </w:pPr>
      <w:r>
        <w:separator/>
      </w:r>
    </w:p>
  </w:footnote>
  <w:footnote w:type="continuationSeparator" w:id="0">
    <w:p w14:paraId="66AC7972" w14:textId="77777777" w:rsidR="00960D5D" w:rsidRDefault="00960D5D" w:rsidP="00DD5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3ED8" w14:textId="3CE5F4B4" w:rsidR="00DD502B" w:rsidRPr="00062124" w:rsidRDefault="00DD502B" w:rsidP="00DD502B">
    <w:pPr>
      <w:pStyle w:val="Title"/>
      <w:rPr>
        <w:sz w:val="44"/>
        <w:szCs w:val="44"/>
      </w:rPr>
    </w:pPr>
    <w:r w:rsidRPr="00062124">
      <w:rPr>
        <w:noProof/>
        <w:sz w:val="28"/>
        <w:szCs w:val="28"/>
      </w:rPr>
      <w:drawing>
        <wp:anchor distT="0" distB="0" distL="114300" distR="114300" simplePos="0" relativeHeight="251658240" behindDoc="0" locked="0" layoutInCell="1" allowOverlap="1" wp14:anchorId="73E4A6A7" wp14:editId="6E44CD3F">
          <wp:simplePos x="0" y="0"/>
          <wp:positionH relativeFrom="column">
            <wp:posOffset>2933700</wp:posOffset>
          </wp:positionH>
          <wp:positionV relativeFrom="paragraph">
            <wp:posOffset>-91440</wp:posOffset>
          </wp:positionV>
          <wp:extent cx="3020695" cy="1005840"/>
          <wp:effectExtent l="0" t="0" r="8255" b="3810"/>
          <wp:wrapSquare wrapText="bothSides"/>
          <wp:docPr id="1454168380" name="Picture 1" descr="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68380" name="Picture 1" descr="Blue and orang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20695" cy="1005840"/>
                  </a:xfrm>
                  <a:prstGeom prst="rect">
                    <a:avLst/>
                  </a:prstGeom>
                </pic:spPr>
              </pic:pic>
            </a:graphicData>
          </a:graphic>
          <wp14:sizeRelH relativeFrom="margin">
            <wp14:pctWidth>0</wp14:pctWidth>
          </wp14:sizeRelH>
          <wp14:sizeRelV relativeFrom="margin">
            <wp14:pctHeight>0</wp14:pctHeight>
          </wp14:sizeRelV>
        </wp:anchor>
      </w:drawing>
    </w:r>
    <w:r w:rsidRPr="00062124">
      <w:rPr>
        <w:sz w:val="28"/>
        <w:szCs w:val="28"/>
      </w:rPr>
      <w:t xml:space="preserve">Community Pharmacy </w:t>
    </w:r>
    <w:r w:rsidR="00E82A42" w:rsidRPr="00062124">
      <w:rPr>
        <w:sz w:val="28"/>
        <w:szCs w:val="28"/>
      </w:rPr>
      <w:t xml:space="preserve">Thames Valley Deadline </w:t>
    </w:r>
    <w:r w:rsidRPr="00062124">
      <w:rPr>
        <w:sz w:val="28"/>
        <w:szCs w:val="28"/>
      </w:rPr>
      <w:t>Tracker</w:t>
    </w:r>
  </w:p>
  <w:p w14:paraId="771EFE96" w14:textId="26F486A2" w:rsidR="00DD502B" w:rsidRPr="00E82A42" w:rsidRDefault="00805A56" w:rsidP="00DD502B">
    <w:pPr>
      <w:pStyle w:val="Heading1"/>
      <w:rPr>
        <w:sz w:val="32"/>
        <w:szCs w:val="32"/>
      </w:rPr>
    </w:pPr>
    <w:r>
      <w:rPr>
        <w:sz w:val="32"/>
        <w:szCs w:val="32"/>
      </w:rPr>
      <w:t>May 202</w:t>
    </w:r>
    <w:r w:rsidR="00DD502B" w:rsidRPr="00E82A42">
      <w:rPr>
        <w:sz w:val="32"/>
        <w:szCs w:val="32"/>
      </w:rPr>
      <w:t>5</w:t>
    </w:r>
  </w:p>
  <w:p w14:paraId="25A082CF" w14:textId="77777777" w:rsidR="00DD502B" w:rsidRDefault="00DD5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B93"/>
    <w:multiLevelType w:val="multilevel"/>
    <w:tmpl w:val="FECC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3332A"/>
    <w:multiLevelType w:val="multilevel"/>
    <w:tmpl w:val="09C4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544958">
    <w:abstractNumId w:val="1"/>
  </w:num>
  <w:num w:numId="2" w16cid:durableId="24145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8C"/>
    <w:rsid w:val="00025D6C"/>
    <w:rsid w:val="0004147D"/>
    <w:rsid w:val="00041EBB"/>
    <w:rsid w:val="00042260"/>
    <w:rsid w:val="00062124"/>
    <w:rsid w:val="00072AF7"/>
    <w:rsid w:val="0007358B"/>
    <w:rsid w:val="00084268"/>
    <w:rsid w:val="00085E79"/>
    <w:rsid w:val="0008650F"/>
    <w:rsid w:val="000D7A1B"/>
    <w:rsid w:val="00101949"/>
    <w:rsid w:val="0012230E"/>
    <w:rsid w:val="001640B2"/>
    <w:rsid w:val="0016483C"/>
    <w:rsid w:val="001733AF"/>
    <w:rsid w:val="001912D7"/>
    <w:rsid w:val="00193F80"/>
    <w:rsid w:val="001B1DE5"/>
    <w:rsid w:val="001B3431"/>
    <w:rsid w:val="001D3090"/>
    <w:rsid w:val="001E1DAC"/>
    <w:rsid w:val="001F5EDA"/>
    <w:rsid w:val="002040F0"/>
    <w:rsid w:val="00204441"/>
    <w:rsid w:val="002069EE"/>
    <w:rsid w:val="00225318"/>
    <w:rsid w:val="00234E73"/>
    <w:rsid w:val="00235F7E"/>
    <w:rsid w:val="0024277F"/>
    <w:rsid w:val="002672C4"/>
    <w:rsid w:val="002750A5"/>
    <w:rsid w:val="0029618F"/>
    <w:rsid w:val="002C1D3D"/>
    <w:rsid w:val="0030610E"/>
    <w:rsid w:val="00317AAB"/>
    <w:rsid w:val="003804A9"/>
    <w:rsid w:val="003D2D5A"/>
    <w:rsid w:val="003D618C"/>
    <w:rsid w:val="003D76C2"/>
    <w:rsid w:val="0040693B"/>
    <w:rsid w:val="00415026"/>
    <w:rsid w:val="0042054C"/>
    <w:rsid w:val="00431CDB"/>
    <w:rsid w:val="00450FF9"/>
    <w:rsid w:val="0049124A"/>
    <w:rsid w:val="00494D15"/>
    <w:rsid w:val="004A2D57"/>
    <w:rsid w:val="004D2B2F"/>
    <w:rsid w:val="004D4379"/>
    <w:rsid w:val="004D7B35"/>
    <w:rsid w:val="004E59D1"/>
    <w:rsid w:val="004E6A74"/>
    <w:rsid w:val="00520514"/>
    <w:rsid w:val="005240B2"/>
    <w:rsid w:val="0057577B"/>
    <w:rsid w:val="005A6540"/>
    <w:rsid w:val="005D290B"/>
    <w:rsid w:val="005D3115"/>
    <w:rsid w:val="005D7585"/>
    <w:rsid w:val="005E0C10"/>
    <w:rsid w:val="005E7488"/>
    <w:rsid w:val="00640074"/>
    <w:rsid w:val="00660A15"/>
    <w:rsid w:val="00677894"/>
    <w:rsid w:val="006B7E56"/>
    <w:rsid w:val="006F5206"/>
    <w:rsid w:val="00700559"/>
    <w:rsid w:val="00716051"/>
    <w:rsid w:val="0072058E"/>
    <w:rsid w:val="00727788"/>
    <w:rsid w:val="0073627B"/>
    <w:rsid w:val="007444B8"/>
    <w:rsid w:val="00746511"/>
    <w:rsid w:val="007E6448"/>
    <w:rsid w:val="00805A56"/>
    <w:rsid w:val="00851BAE"/>
    <w:rsid w:val="00867118"/>
    <w:rsid w:val="0088228F"/>
    <w:rsid w:val="00885470"/>
    <w:rsid w:val="00886184"/>
    <w:rsid w:val="008A1B9B"/>
    <w:rsid w:val="008A5B50"/>
    <w:rsid w:val="008D342D"/>
    <w:rsid w:val="008D7F0F"/>
    <w:rsid w:val="008F00D6"/>
    <w:rsid w:val="0092392B"/>
    <w:rsid w:val="009441A5"/>
    <w:rsid w:val="00944C3B"/>
    <w:rsid w:val="00960D5D"/>
    <w:rsid w:val="00965331"/>
    <w:rsid w:val="009704DC"/>
    <w:rsid w:val="00987918"/>
    <w:rsid w:val="009B5A14"/>
    <w:rsid w:val="00A0597B"/>
    <w:rsid w:val="00A41C01"/>
    <w:rsid w:val="00A43374"/>
    <w:rsid w:val="00A772B2"/>
    <w:rsid w:val="00A9032C"/>
    <w:rsid w:val="00AA36AF"/>
    <w:rsid w:val="00B05CEE"/>
    <w:rsid w:val="00B07B33"/>
    <w:rsid w:val="00B154EA"/>
    <w:rsid w:val="00B43010"/>
    <w:rsid w:val="00B5646D"/>
    <w:rsid w:val="00B56BF1"/>
    <w:rsid w:val="00B602C0"/>
    <w:rsid w:val="00B817CF"/>
    <w:rsid w:val="00B9585B"/>
    <w:rsid w:val="00BC333A"/>
    <w:rsid w:val="00BF5676"/>
    <w:rsid w:val="00C006D9"/>
    <w:rsid w:val="00C06A0F"/>
    <w:rsid w:val="00C154A3"/>
    <w:rsid w:val="00C2716F"/>
    <w:rsid w:val="00C31BE6"/>
    <w:rsid w:val="00C61C67"/>
    <w:rsid w:val="00C6600D"/>
    <w:rsid w:val="00C76B77"/>
    <w:rsid w:val="00CA70C9"/>
    <w:rsid w:val="00CF3097"/>
    <w:rsid w:val="00D075E1"/>
    <w:rsid w:val="00D13C45"/>
    <w:rsid w:val="00D3264F"/>
    <w:rsid w:val="00D33716"/>
    <w:rsid w:val="00D50439"/>
    <w:rsid w:val="00D60B63"/>
    <w:rsid w:val="00DC2DD0"/>
    <w:rsid w:val="00DD502B"/>
    <w:rsid w:val="00E010BE"/>
    <w:rsid w:val="00E357C4"/>
    <w:rsid w:val="00E45EF4"/>
    <w:rsid w:val="00E55909"/>
    <w:rsid w:val="00E640C5"/>
    <w:rsid w:val="00E65A42"/>
    <w:rsid w:val="00E82A42"/>
    <w:rsid w:val="00E871E6"/>
    <w:rsid w:val="00E9044B"/>
    <w:rsid w:val="00EA026B"/>
    <w:rsid w:val="00EA4988"/>
    <w:rsid w:val="00EB0AE6"/>
    <w:rsid w:val="00EC660B"/>
    <w:rsid w:val="00ED0CF1"/>
    <w:rsid w:val="00EE0077"/>
    <w:rsid w:val="00EE21EE"/>
    <w:rsid w:val="00EE4011"/>
    <w:rsid w:val="00EF0430"/>
    <w:rsid w:val="00EF4492"/>
    <w:rsid w:val="00F06896"/>
    <w:rsid w:val="00F15B49"/>
    <w:rsid w:val="00F245E7"/>
    <w:rsid w:val="00F34E1B"/>
    <w:rsid w:val="00FB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5C99E"/>
  <w15:chartTrackingRefBased/>
  <w15:docId w15:val="{35555C00-3117-4877-A470-149E2B0D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18C"/>
    <w:rPr>
      <w:rFonts w:eastAsiaTheme="majorEastAsia" w:cstheme="majorBidi"/>
      <w:color w:val="272727" w:themeColor="text1" w:themeTint="D8"/>
    </w:rPr>
  </w:style>
  <w:style w:type="paragraph" w:styleId="Title">
    <w:name w:val="Title"/>
    <w:basedOn w:val="Normal"/>
    <w:next w:val="Normal"/>
    <w:link w:val="TitleChar"/>
    <w:uiPriority w:val="10"/>
    <w:qFormat/>
    <w:rsid w:val="003D6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18C"/>
    <w:pPr>
      <w:spacing w:before="160"/>
      <w:jc w:val="center"/>
    </w:pPr>
    <w:rPr>
      <w:i/>
      <w:iCs/>
      <w:color w:val="404040" w:themeColor="text1" w:themeTint="BF"/>
    </w:rPr>
  </w:style>
  <w:style w:type="character" w:customStyle="1" w:styleId="QuoteChar">
    <w:name w:val="Quote Char"/>
    <w:basedOn w:val="DefaultParagraphFont"/>
    <w:link w:val="Quote"/>
    <w:uiPriority w:val="29"/>
    <w:rsid w:val="003D618C"/>
    <w:rPr>
      <w:i/>
      <w:iCs/>
      <w:color w:val="404040" w:themeColor="text1" w:themeTint="BF"/>
    </w:rPr>
  </w:style>
  <w:style w:type="paragraph" w:styleId="ListParagraph">
    <w:name w:val="List Paragraph"/>
    <w:basedOn w:val="Normal"/>
    <w:uiPriority w:val="34"/>
    <w:qFormat/>
    <w:rsid w:val="003D618C"/>
    <w:pPr>
      <w:ind w:left="720"/>
      <w:contextualSpacing/>
    </w:pPr>
  </w:style>
  <w:style w:type="character" w:styleId="IntenseEmphasis">
    <w:name w:val="Intense Emphasis"/>
    <w:basedOn w:val="DefaultParagraphFont"/>
    <w:uiPriority w:val="21"/>
    <w:qFormat/>
    <w:rsid w:val="003D618C"/>
    <w:rPr>
      <w:i/>
      <w:iCs/>
      <w:color w:val="0F4761" w:themeColor="accent1" w:themeShade="BF"/>
    </w:rPr>
  </w:style>
  <w:style w:type="paragraph" w:styleId="IntenseQuote">
    <w:name w:val="Intense Quote"/>
    <w:basedOn w:val="Normal"/>
    <w:next w:val="Normal"/>
    <w:link w:val="IntenseQuoteChar"/>
    <w:uiPriority w:val="30"/>
    <w:qFormat/>
    <w:rsid w:val="003D6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18C"/>
    <w:rPr>
      <w:i/>
      <w:iCs/>
      <w:color w:val="0F4761" w:themeColor="accent1" w:themeShade="BF"/>
    </w:rPr>
  </w:style>
  <w:style w:type="character" w:styleId="IntenseReference">
    <w:name w:val="Intense Reference"/>
    <w:basedOn w:val="DefaultParagraphFont"/>
    <w:uiPriority w:val="32"/>
    <w:qFormat/>
    <w:rsid w:val="003D618C"/>
    <w:rPr>
      <w:b/>
      <w:bCs/>
      <w:smallCaps/>
      <w:color w:val="0F4761" w:themeColor="accent1" w:themeShade="BF"/>
      <w:spacing w:val="5"/>
    </w:rPr>
  </w:style>
  <w:style w:type="table" w:styleId="TableGrid">
    <w:name w:val="Table Grid"/>
    <w:basedOn w:val="TableNormal"/>
    <w:uiPriority w:val="39"/>
    <w:rsid w:val="003D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02B"/>
  </w:style>
  <w:style w:type="paragraph" w:styleId="Footer">
    <w:name w:val="footer"/>
    <w:basedOn w:val="Normal"/>
    <w:link w:val="FooterChar"/>
    <w:uiPriority w:val="99"/>
    <w:unhideWhenUsed/>
    <w:rsid w:val="00DD5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02B"/>
  </w:style>
  <w:style w:type="character" w:styleId="Hyperlink">
    <w:name w:val="Hyperlink"/>
    <w:basedOn w:val="DefaultParagraphFont"/>
    <w:uiPriority w:val="99"/>
    <w:unhideWhenUsed/>
    <w:rsid w:val="00B56BF1"/>
    <w:rPr>
      <w:color w:val="467886" w:themeColor="hyperlink"/>
      <w:u w:val="single"/>
    </w:rPr>
  </w:style>
  <w:style w:type="character" w:styleId="UnresolvedMention">
    <w:name w:val="Unresolved Mention"/>
    <w:basedOn w:val="DefaultParagraphFont"/>
    <w:uiPriority w:val="99"/>
    <w:semiHidden/>
    <w:unhideWhenUsed/>
    <w:rsid w:val="00B56BF1"/>
    <w:rPr>
      <w:color w:val="605E5C"/>
      <w:shd w:val="clear" w:color="auto" w:fill="E1DFDD"/>
    </w:rPr>
  </w:style>
  <w:style w:type="paragraph" w:styleId="NormalWeb">
    <w:name w:val="Normal (Web)"/>
    <w:basedOn w:val="Normal"/>
    <w:uiPriority w:val="99"/>
    <w:semiHidden/>
    <w:unhideWhenUsed/>
    <w:rsid w:val="00B05CEE"/>
    <w:rPr>
      <w:rFonts w:ascii="Times New Roman" w:hAnsi="Times New Roman" w:cs="Times New Roman"/>
    </w:rPr>
  </w:style>
  <w:style w:type="character" w:styleId="FollowedHyperlink">
    <w:name w:val="FollowedHyperlink"/>
    <w:basedOn w:val="DefaultParagraphFont"/>
    <w:uiPriority w:val="99"/>
    <w:semiHidden/>
    <w:unhideWhenUsed/>
    <w:rsid w:val="005D29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14077">
      <w:bodyDiv w:val="1"/>
      <w:marLeft w:val="0"/>
      <w:marRight w:val="0"/>
      <w:marTop w:val="0"/>
      <w:marBottom w:val="0"/>
      <w:divBdr>
        <w:top w:val="none" w:sz="0" w:space="0" w:color="auto"/>
        <w:left w:val="none" w:sz="0" w:space="0" w:color="auto"/>
        <w:bottom w:val="none" w:sz="0" w:space="0" w:color="auto"/>
        <w:right w:val="none" w:sz="0" w:space="0" w:color="auto"/>
      </w:divBdr>
    </w:div>
    <w:div w:id="846478196">
      <w:bodyDiv w:val="1"/>
      <w:marLeft w:val="0"/>
      <w:marRight w:val="0"/>
      <w:marTop w:val="0"/>
      <w:marBottom w:val="0"/>
      <w:divBdr>
        <w:top w:val="none" w:sz="0" w:space="0" w:color="auto"/>
        <w:left w:val="none" w:sz="0" w:space="0" w:color="auto"/>
        <w:bottom w:val="none" w:sz="0" w:space="0" w:color="auto"/>
        <w:right w:val="none" w:sz="0" w:space="0" w:color="auto"/>
      </w:divBdr>
      <w:divsChild>
        <w:div w:id="1573731140">
          <w:marLeft w:val="0"/>
          <w:marRight w:val="0"/>
          <w:marTop w:val="0"/>
          <w:marBottom w:val="0"/>
          <w:divBdr>
            <w:top w:val="none" w:sz="0" w:space="0" w:color="auto"/>
            <w:left w:val="none" w:sz="0" w:space="0" w:color="auto"/>
            <w:bottom w:val="none" w:sz="0" w:space="0" w:color="auto"/>
            <w:right w:val="none" w:sz="0" w:space="0" w:color="auto"/>
          </w:divBdr>
          <w:divsChild>
            <w:div w:id="19118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956">
      <w:bodyDiv w:val="1"/>
      <w:marLeft w:val="0"/>
      <w:marRight w:val="0"/>
      <w:marTop w:val="0"/>
      <w:marBottom w:val="0"/>
      <w:divBdr>
        <w:top w:val="none" w:sz="0" w:space="0" w:color="auto"/>
        <w:left w:val="none" w:sz="0" w:space="0" w:color="auto"/>
        <w:bottom w:val="none" w:sz="0" w:space="0" w:color="auto"/>
        <w:right w:val="none" w:sz="0" w:space="0" w:color="auto"/>
      </w:divBdr>
    </w:div>
    <w:div w:id="12178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bsa.nhs.uk/pharmacies-gp-practices-and-appliance-contractors/dispensing-contractors-information/manage-your-service-mys" TargetMode="External"/><Relationship Id="rId13" Type="http://schemas.openxmlformats.org/officeDocument/2006/relationships/hyperlink" Target="https://www.nhs.uk/our-policies/profile-editor-login/" TargetMode="External"/><Relationship Id="rId18" Type="http://schemas.openxmlformats.org/officeDocument/2006/relationships/hyperlink" Target="https://cpe.org.uk/our-news/data-security-protection-toolkit-2025-community-pharmacy-england-guidance-availabl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hsbsa.nhs.uk/pharmacies-gp-practices-and-appliance-contractors/dispensing-contractors-information/nhs-pharmacy-first-service-pfs" TargetMode="External"/><Relationship Id="rId12" Type="http://schemas.openxmlformats.org/officeDocument/2006/relationships/hyperlink" Target="https://cpe.org.uk/quality-and-regulations/clinical-governance/complaints/" TargetMode="External"/><Relationship Id="rId17" Type="http://schemas.openxmlformats.org/officeDocument/2006/relationships/hyperlink" Target="https://pharmoutcomes.org/pharmoutcomes/guides/provider/11.%20Administration%20-%20Creating%20New%20Users%20v1.pdf" TargetMode="External"/><Relationship Id="rId2" Type="http://schemas.openxmlformats.org/officeDocument/2006/relationships/styles" Target="styles.xml"/><Relationship Id="rId16" Type="http://schemas.openxmlformats.org/officeDocument/2006/relationships/hyperlink" Target="https://psnc.org.uk/digital-and-technology/nhs-mai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ail-marketing.ionos.co.uk/eagle_kp_webapp/mailings/cms/%5b%5bLINK%7C%22https:/cpe.org.uk/our-news/nms-making-your-end-of-month-claim/%22%5d%5d" TargetMode="External"/><Relationship Id="rId5" Type="http://schemas.openxmlformats.org/officeDocument/2006/relationships/footnotes" Target="footnotes.xml"/><Relationship Id="rId15" Type="http://schemas.openxmlformats.org/officeDocument/2006/relationships/hyperlink" Target="https://cpe.org.uk/funding-and-reimbursement/monthly-payments/payment-timetable-and-deadline-tracker/" TargetMode="External"/><Relationship Id="rId10" Type="http://schemas.openxmlformats.org/officeDocument/2006/relationships/hyperlink" Target="https://email-marketing.ionos.co.uk/eagle_kp_webapp/mailings/cms/%5b%5bLINK%7C%22https:/cpe.org.uk/our-news/nms-making-your-end-of-month-claim/%22%5d%5d" TargetMode="External"/><Relationship Id="rId19" Type="http://schemas.openxmlformats.org/officeDocument/2006/relationships/hyperlink" Target="https://cpe.org.uk/our-work/updates-events/our-webinars/data-security-and-protection-ig-toolkit-workshop/" TargetMode="External"/><Relationship Id="rId4" Type="http://schemas.openxmlformats.org/officeDocument/2006/relationships/webSettings" Target="webSettings.xml"/><Relationship Id="rId9" Type="http://schemas.openxmlformats.org/officeDocument/2006/relationships/hyperlink" Target="https://cpe.org.uk/quality-and-regulations/pharmacy-quality-scheme/" TargetMode="External"/><Relationship Id="rId14" Type="http://schemas.openxmlformats.org/officeDocument/2006/relationships/hyperlink" Target="https://view.officeapps.live.com/op/view.aspx?src=https%3A%2F%2Fcptv.org.uk%2Fwp-content%2Fuploads%2Fsites%2F109%2F2025%2F02%2FEOM-draft-2025.docx&amp;wdOrigin=BROWSELI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Girling</dc:creator>
  <cp:keywords/>
  <dc:description/>
  <cp:lastModifiedBy>Lorna Girling</cp:lastModifiedBy>
  <cp:revision>15</cp:revision>
  <dcterms:created xsi:type="dcterms:W3CDTF">2025-04-24T06:29:00Z</dcterms:created>
  <dcterms:modified xsi:type="dcterms:W3CDTF">2025-05-08T07:30:00Z</dcterms:modified>
</cp:coreProperties>
</file>