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E9AEF" w14:textId="77777777" w:rsidR="00AF3865" w:rsidRDefault="00AF3865" w:rsidP="00AF3865">
      <w:pPr>
        <w:rPr>
          <w:rFonts w:eastAsia="Times New Roman"/>
          <w:lang w:val="en"/>
        </w:rPr>
      </w:pPr>
    </w:p>
    <w:tbl>
      <w:tblPr>
        <w:tblW w:w="5000" w:type="pct"/>
        <w:jc w:val="center"/>
        <w:tblCellMar>
          <w:left w:w="0" w:type="dxa"/>
          <w:right w:w="0" w:type="dxa"/>
        </w:tblCellMar>
        <w:tblLook w:val="04A0" w:firstRow="1" w:lastRow="0" w:firstColumn="1" w:lastColumn="0" w:noHBand="0" w:noVBand="1"/>
      </w:tblPr>
      <w:tblGrid>
        <w:gridCol w:w="9026"/>
      </w:tblGrid>
      <w:tr w:rsidR="00AF3865" w14:paraId="38F45FAD" w14:textId="77777777">
        <w:trPr>
          <w:jc w:val="center"/>
        </w:trPr>
        <w:tc>
          <w:tcPr>
            <w:tcW w:w="5000" w:type="pct"/>
            <w:shd w:val="clear" w:color="auto" w:fill="EEEEEE"/>
            <w:vAlign w:val="center"/>
            <w:hideMark/>
          </w:tcPr>
          <w:tbl>
            <w:tblPr>
              <w:tblW w:w="5000" w:type="pct"/>
              <w:jc w:val="center"/>
              <w:tblCellMar>
                <w:top w:w="450" w:type="dxa"/>
                <w:left w:w="0" w:type="dxa"/>
                <w:bottom w:w="300" w:type="dxa"/>
                <w:right w:w="0" w:type="dxa"/>
              </w:tblCellMar>
              <w:tblLook w:val="04A0" w:firstRow="1" w:lastRow="0" w:firstColumn="1" w:lastColumn="0" w:noHBand="0" w:noVBand="1"/>
            </w:tblPr>
            <w:tblGrid>
              <w:gridCol w:w="5"/>
              <w:gridCol w:w="9015"/>
              <w:gridCol w:w="6"/>
            </w:tblGrid>
            <w:tr w:rsidR="00AF3865" w14:paraId="6E79D7EA" w14:textId="77777777">
              <w:trPr>
                <w:jc w:val="center"/>
              </w:trPr>
              <w:tc>
                <w:tcPr>
                  <w:tcW w:w="0" w:type="auto"/>
                  <w:vAlign w:val="center"/>
                  <w:hideMark/>
                </w:tcPr>
                <w:p w14:paraId="4DDAA7D4" w14:textId="77777777" w:rsidR="00AF3865" w:rsidRDefault="00AF3865">
                  <w:pPr>
                    <w:rPr>
                      <w:rFonts w:eastAsia="Times New Roman"/>
                      <w:lang w:val="en"/>
                    </w:rPr>
                  </w:pPr>
                </w:p>
              </w:tc>
              <w:tc>
                <w:tcPr>
                  <w:tcW w:w="0" w:type="auto"/>
                  <w:vAlign w:val="center"/>
                </w:tcPr>
                <w:tbl>
                  <w:tblPr>
                    <w:tblW w:w="9000" w:type="dxa"/>
                    <w:jc w:val="center"/>
                    <w:tblCellMar>
                      <w:left w:w="0" w:type="dxa"/>
                      <w:right w:w="0" w:type="dxa"/>
                    </w:tblCellMar>
                    <w:tblLook w:val="04A0" w:firstRow="1" w:lastRow="0" w:firstColumn="1" w:lastColumn="0" w:noHBand="0" w:noVBand="1"/>
                  </w:tblPr>
                  <w:tblGrid>
                    <w:gridCol w:w="9000"/>
                  </w:tblGrid>
                  <w:tr w:rsidR="00AF3865" w14:paraId="07130A59"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AF3865" w14:paraId="729DC684" w14:textId="77777777">
                          <w:trPr>
                            <w:jc w:val="center"/>
                          </w:trPr>
                          <w:tc>
                            <w:tcPr>
                              <w:tcW w:w="0" w:type="auto"/>
                              <w:shd w:val="clear" w:color="auto" w:fill="3698A8"/>
                              <w:hideMark/>
                            </w:tcPr>
                            <w:tbl>
                              <w:tblPr>
                                <w:tblW w:w="5000" w:type="pct"/>
                                <w:jc w:val="center"/>
                                <w:tblCellMar>
                                  <w:left w:w="0" w:type="dxa"/>
                                  <w:right w:w="0" w:type="dxa"/>
                                </w:tblCellMar>
                                <w:tblLook w:val="04A0" w:firstRow="1" w:lastRow="0" w:firstColumn="1" w:lastColumn="0" w:noHBand="0" w:noVBand="1"/>
                              </w:tblPr>
                              <w:tblGrid>
                                <w:gridCol w:w="9000"/>
                              </w:tblGrid>
                              <w:tr w:rsidR="00AF3865" w14:paraId="725722E4"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AF3865" w14:paraId="44DCC772" w14:textId="77777777">
                                      <w:trPr>
                                        <w:jc w:val="center"/>
                                      </w:trPr>
                                      <w:tc>
                                        <w:tcPr>
                                          <w:tcW w:w="0" w:type="auto"/>
                                          <w:tcMar>
                                            <w:top w:w="225" w:type="dxa"/>
                                            <w:left w:w="225" w:type="dxa"/>
                                            <w:bottom w:w="225" w:type="dxa"/>
                                            <w:right w:w="225" w:type="dxa"/>
                                          </w:tcMar>
                                          <w:vAlign w:val="center"/>
                                          <w:hideMark/>
                                        </w:tcPr>
                                        <w:p w14:paraId="58654429" w14:textId="77777777" w:rsidR="00AF3865" w:rsidRDefault="00AF3865">
                                          <w:pPr>
                                            <w:pStyle w:val="Heading2"/>
                                            <w:spacing w:before="0" w:after="270"/>
                                            <w:rPr>
                                              <w:rFonts w:ascii="Calibri" w:eastAsia="Times New Roman" w:hAnsi="Calibri" w:cs="Calibri"/>
                                              <w:color w:val="FFFFFF"/>
                                              <w:sz w:val="45"/>
                                              <w:szCs w:val="45"/>
                                            </w:rPr>
                                          </w:pPr>
                                          <w:r>
                                            <w:rPr>
                                              <w:rFonts w:ascii="Calibri" w:eastAsia="Times New Roman" w:hAnsi="Calibri" w:cs="Calibri"/>
                                              <w:color w:val="FFFFFF"/>
                                              <w:sz w:val="45"/>
                                              <w:szCs w:val="45"/>
                                            </w:rPr>
                                            <w:t>June 2026 Volume 1 Issue 2                                 </w:t>
                                          </w:r>
                                        </w:p>
                                        <w:tbl>
                                          <w:tblPr>
                                            <w:tblW w:w="5000" w:type="pct"/>
                                            <w:tblCellMar>
                                              <w:left w:w="0" w:type="dxa"/>
                                              <w:right w:w="0" w:type="dxa"/>
                                            </w:tblCellMar>
                                            <w:tblLook w:val="04A0" w:firstRow="1" w:lastRow="0" w:firstColumn="1" w:lastColumn="0" w:noHBand="0" w:noVBand="1"/>
                                          </w:tblPr>
                                          <w:tblGrid>
                                            <w:gridCol w:w="8550"/>
                                          </w:tblGrid>
                                          <w:tr w:rsidR="00AF3865" w14:paraId="295FC922" w14:textId="77777777">
                                            <w:tc>
                                              <w:tcPr>
                                                <w:tcW w:w="0" w:type="auto"/>
                                                <w:vAlign w:val="center"/>
                                                <w:hideMark/>
                                              </w:tcPr>
                                              <w:p w14:paraId="3FF4B20F" w14:textId="5141BB90" w:rsidR="00AF3865" w:rsidRDefault="00AF3865">
                                                <w:pPr>
                                                  <w:jc w:val="right"/>
                                                  <w:rPr>
                                                    <w:rFonts w:eastAsia="Times New Roman"/>
                                                  </w:rPr>
                                                </w:pPr>
                                                <w:r>
                                                  <w:rPr>
                                                    <w:rFonts w:eastAsia="Times New Roman"/>
                                                    <w:noProof/>
                                                  </w:rPr>
                                                  <w:drawing>
                                                    <wp:inline distT="0" distB="0" distL="0" distR="0" wp14:anchorId="3B5483D1" wp14:editId="45866E49">
                                                      <wp:extent cx="5425440" cy="548640"/>
                                                      <wp:effectExtent l="0" t="0" r="3810" b="3810"/>
                                                      <wp:docPr id="1940391922" name="Picture 15" descr="Thames Valley Prescrib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mes Valley Prescribing "/>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25440" cy="548640"/>
                                                              </a:xfrm>
                                                              <a:prstGeom prst="rect">
                                                                <a:avLst/>
                                                              </a:prstGeom>
                                                              <a:noFill/>
                                                              <a:ln>
                                                                <a:noFill/>
                                                              </a:ln>
                                                            </pic:spPr>
                                                          </pic:pic>
                                                        </a:graphicData>
                                                      </a:graphic>
                                                    </wp:inline>
                                                  </w:drawing>
                                                </w:r>
                                              </w:p>
                                            </w:tc>
                                          </w:tr>
                                        </w:tbl>
                                        <w:p w14:paraId="5AB3F577" w14:textId="77777777" w:rsidR="00AF3865" w:rsidRDefault="00AF3865">
                                          <w:pPr>
                                            <w:rPr>
                                              <w:rFonts w:ascii="Times New Roman" w:eastAsia="Times New Roman" w:hAnsi="Times New Roman" w:cs="Times New Roman"/>
                                              <w:sz w:val="20"/>
                                              <w:szCs w:val="20"/>
                                            </w:rPr>
                                          </w:pPr>
                                        </w:p>
                                      </w:tc>
                                    </w:tr>
                                  </w:tbl>
                                  <w:p w14:paraId="64DC4BDC" w14:textId="77777777" w:rsidR="00AF3865" w:rsidRDefault="00AF3865">
                                    <w:pPr>
                                      <w:jc w:val="center"/>
                                      <w:rPr>
                                        <w:rFonts w:ascii="Times New Roman" w:eastAsia="Times New Roman" w:hAnsi="Times New Roman" w:cs="Times New Roman"/>
                                        <w:sz w:val="20"/>
                                        <w:szCs w:val="20"/>
                                      </w:rPr>
                                    </w:pPr>
                                  </w:p>
                                </w:tc>
                              </w:tr>
                            </w:tbl>
                            <w:p w14:paraId="13E27B38" w14:textId="77777777" w:rsidR="00AF3865" w:rsidRDefault="00AF3865">
                              <w:pPr>
                                <w:jc w:val="center"/>
                                <w:rPr>
                                  <w:rFonts w:ascii="Times New Roman" w:eastAsia="Times New Roman" w:hAnsi="Times New Roman" w:cs="Times New Roman"/>
                                  <w:sz w:val="20"/>
                                  <w:szCs w:val="20"/>
                                </w:rPr>
                              </w:pPr>
                            </w:p>
                          </w:tc>
                        </w:tr>
                      </w:tbl>
                      <w:p w14:paraId="29D5B87B" w14:textId="77777777" w:rsidR="00AF3865" w:rsidRDefault="00AF3865">
                        <w:pPr>
                          <w:jc w:val="center"/>
                          <w:rPr>
                            <w:rFonts w:ascii="Times New Roman" w:eastAsia="Times New Roman" w:hAnsi="Times New Roman" w:cs="Times New Roman"/>
                            <w:sz w:val="20"/>
                            <w:szCs w:val="20"/>
                          </w:rPr>
                        </w:pPr>
                      </w:p>
                    </w:tc>
                  </w:tr>
                </w:tbl>
                <w:p w14:paraId="0080ACA3" w14:textId="77777777" w:rsidR="00AF3865" w:rsidRDefault="00AF3865">
                  <w:pPr>
                    <w:rPr>
                      <w:rFonts w:eastAsia="Times New Roman"/>
                    </w:rPr>
                  </w:pPr>
                </w:p>
                <w:tbl>
                  <w:tblPr>
                    <w:tblW w:w="9000" w:type="dxa"/>
                    <w:jc w:val="center"/>
                    <w:tblCellMar>
                      <w:left w:w="0" w:type="dxa"/>
                      <w:right w:w="0" w:type="dxa"/>
                    </w:tblCellMar>
                    <w:tblLook w:val="04A0" w:firstRow="1" w:lastRow="0" w:firstColumn="1" w:lastColumn="0" w:noHBand="0" w:noVBand="1"/>
                  </w:tblPr>
                  <w:tblGrid>
                    <w:gridCol w:w="9015"/>
                  </w:tblGrid>
                  <w:tr w:rsidR="00AF3865" w14:paraId="5F5500C8"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15"/>
                        </w:tblGrid>
                        <w:tr w:rsidR="00AF3865" w14:paraId="4A91E9F1"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15"/>
                              </w:tblGrid>
                              <w:tr w:rsidR="00AF3865" w14:paraId="7BCE2ED1"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15"/>
                                    </w:tblGrid>
                                    <w:tr w:rsidR="00AF3865" w14:paraId="7033A77D" w14:textId="77777777">
                                      <w:trPr>
                                        <w:jc w:val="center"/>
                                      </w:trPr>
                                      <w:tc>
                                        <w:tcPr>
                                          <w:tcW w:w="0" w:type="auto"/>
                                          <w:tcMar>
                                            <w:top w:w="225" w:type="dxa"/>
                                            <w:left w:w="225" w:type="dxa"/>
                                            <w:bottom w:w="225" w:type="dxa"/>
                                            <w:right w:w="225" w:type="dxa"/>
                                          </w:tcMar>
                                          <w:vAlign w:val="center"/>
                                          <w:hideMark/>
                                        </w:tcPr>
                                        <w:p w14:paraId="636B9472" w14:textId="77777777" w:rsidR="00AF3865" w:rsidRDefault="00AF3865">
                                          <w:pPr>
                                            <w:pStyle w:val="Heading1"/>
                                            <w:spacing w:before="0" w:after="300"/>
                                            <w:jc w:val="center"/>
                                            <w:rPr>
                                              <w:rFonts w:ascii="Calibri" w:eastAsia="Times New Roman" w:hAnsi="Calibri" w:cs="Calibri"/>
                                              <w:color w:val="003087"/>
                                              <w:sz w:val="53"/>
                                              <w:szCs w:val="53"/>
                                            </w:rPr>
                                          </w:pPr>
                                          <w:r>
                                            <w:rPr>
                                              <w:rFonts w:ascii="Calibri" w:eastAsia="Times New Roman" w:hAnsi="Calibri" w:cs="Calibri"/>
                                              <w:color w:val="003087"/>
                                              <w:sz w:val="53"/>
                                              <w:szCs w:val="53"/>
                                            </w:rPr>
                                            <w:t xml:space="preserve">Thames Valley Prescribing Newsletter </w:t>
                                          </w:r>
                                        </w:p>
                                        <w:p w14:paraId="312AD233" w14:textId="77777777" w:rsidR="00AF3865" w:rsidRDefault="00AF3865">
                                          <w:pPr>
                                            <w:pStyle w:val="NormalWeb"/>
                                            <w:spacing w:before="0" w:beforeAutospacing="0" w:after="225" w:afterAutospacing="0"/>
                                            <w:rPr>
                                              <w:rFonts w:ascii="Calibri" w:hAnsi="Calibri" w:cs="Calibri"/>
                                              <w:sz w:val="23"/>
                                              <w:szCs w:val="23"/>
                                            </w:rPr>
                                          </w:pPr>
                                          <w:r>
                                            <w:rPr>
                                              <w:rStyle w:val="normaltextrun"/>
                                              <w:rFonts w:ascii="Calibri" w:hAnsi="Calibri" w:cs="Calibri"/>
                                              <w:sz w:val="23"/>
                                              <w:szCs w:val="23"/>
                                            </w:rPr>
                                            <w:t xml:space="preserve">This newsletter replaces the Frimley Prescribing Newsletter and the BOB MOB. It is produced monthly by the Medicines Optimisation Team at the Thames Valley Integrated Care Board. If you have any questions or feedback, please contact the team at  </w:t>
                                          </w:r>
                                          <w:hyperlink r:id="rId7" w:tgtFrame="_blank" w:history="1">
                                            <w:r>
                                              <w:rPr>
                                                <w:rStyle w:val="normaltextrun"/>
                                                <w:rFonts w:ascii="Calibri" w:hAnsi="Calibri" w:cs="Calibri"/>
                                                <w:color w:val="1D5782"/>
                                                <w:sz w:val="23"/>
                                                <w:szCs w:val="23"/>
                                                <w:u w:val="single"/>
                                              </w:rPr>
                                              <w:t>frimleyicb.prescribing@nhs.net</w:t>
                                            </w:r>
                                          </w:hyperlink>
                                          <w:r>
                                            <w:rPr>
                                              <w:rStyle w:val="normaltextrun"/>
                                              <w:rFonts w:ascii="Calibri" w:hAnsi="Calibri" w:cs="Calibri"/>
                                              <w:sz w:val="23"/>
                                              <w:szCs w:val="23"/>
                                            </w:rPr>
                                            <w:t xml:space="preserve">  &amp; </w:t>
                                          </w:r>
                                          <w:hyperlink r:id="rId8" w:tgtFrame="_blank" w:history="1">
                                            <w:r>
                                              <w:rPr>
                                                <w:rStyle w:val="normaltextrun"/>
                                                <w:rFonts w:ascii="Calibri" w:hAnsi="Calibri" w:cs="Calibri"/>
                                                <w:color w:val="1D5782"/>
                                                <w:sz w:val="23"/>
                                                <w:szCs w:val="23"/>
                                                <w:u w:val="single"/>
                                              </w:rPr>
                                              <w:t>bobicb.medicines@nhs.net</w:t>
                                            </w:r>
                                          </w:hyperlink>
                                          <w:r>
                                            <w:rPr>
                                              <w:rStyle w:val="normaltextrun"/>
                                              <w:rFonts w:ascii="Calibri" w:hAnsi="Calibri" w:cs="Calibri"/>
                                              <w:sz w:val="23"/>
                                              <w:szCs w:val="23"/>
                                            </w:rPr>
                                            <w:t> </w:t>
                                          </w:r>
                                          <w:r>
                                            <w:rPr>
                                              <w:rStyle w:val="eop"/>
                                              <w:rFonts w:ascii="Calibri" w:hAnsi="Calibri" w:cs="Calibri"/>
                                              <w:sz w:val="23"/>
                                              <w:szCs w:val="23"/>
                                            </w:rPr>
                                            <w:t> </w:t>
                                          </w:r>
                                        </w:p>
                                        <w:p w14:paraId="52CECC56" w14:textId="77777777" w:rsidR="00AF3865" w:rsidRDefault="00AF3865">
                                          <w:pPr>
                                            <w:pStyle w:val="Heading1"/>
                                            <w:spacing w:before="0" w:after="300"/>
                                            <w:jc w:val="center"/>
                                            <w:rPr>
                                              <w:rFonts w:ascii="Calibri" w:eastAsia="Times New Roman" w:hAnsi="Calibri" w:cs="Calibri"/>
                                              <w:color w:val="003087"/>
                                              <w:sz w:val="53"/>
                                              <w:szCs w:val="53"/>
                                            </w:rPr>
                                          </w:pPr>
                                          <w:r>
                                            <w:rPr>
                                              <w:rFonts w:ascii="Calibri" w:eastAsia="Times New Roman" w:hAnsi="Calibri" w:cs="Calibri"/>
                                              <w:color w:val="003087"/>
                                              <w:sz w:val="53"/>
                                              <w:szCs w:val="53"/>
                                            </w:rPr>
                                            <w:t>Team News</w:t>
                                          </w:r>
                                        </w:p>
                                        <w:p w14:paraId="6281E8F7" w14:textId="77777777" w:rsidR="00AF3865" w:rsidRDefault="00AF3865">
                                          <w:pPr>
                                            <w:pStyle w:val="NormalWeb"/>
                                            <w:spacing w:before="0" w:beforeAutospacing="0" w:after="225" w:afterAutospacing="0"/>
                                            <w:rPr>
                                              <w:rFonts w:ascii="Calibri" w:hAnsi="Calibri" w:cs="Calibri"/>
                                              <w:sz w:val="23"/>
                                              <w:szCs w:val="23"/>
                                            </w:rPr>
                                          </w:pPr>
                                          <w:r>
                                            <w:rPr>
                                              <w:rStyle w:val="Strong"/>
                                              <w:rFonts w:ascii="Calibri" w:hAnsi="Calibri" w:cs="Calibri"/>
                                              <w:sz w:val="23"/>
                                              <w:szCs w:val="23"/>
                                            </w:rPr>
                                            <w:t>Thames Valley Medicines Optimisation Team News</w:t>
                                          </w:r>
                                        </w:p>
                                        <w:p w14:paraId="2CD330E3" w14:textId="77777777" w:rsidR="00AF3865" w:rsidRDefault="00AF3865">
                                          <w:pPr>
                                            <w:pStyle w:val="NormalWeb"/>
                                            <w:spacing w:before="0" w:beforeAutospacing="0" w:after="225" w:afterAutospacing="0"/>
                                          </w:pPr>
                                          <w:r>
                                            <w:rPr>
                                              <w:rFonts w:ascii="Calibri" w:hAnsi="Calibri" w:cs="Calibri"/>
                                              <w:sz w:val="23"/>
                                              <w:szCs w:val="23"/>
                                            </w:rPr>
                                            <w:t>Thames Valley ICB was established on 1 April 2026, bringing together the Medicines Optimisation teams from BOB ICB and the East Berkshire “places” of Frimley ICB into a single, unified team. In doing so, both teams have said farewell to several valued and long-serving colleagues, whose dedication and contributions to supporting our clinicians and patients we would like to formally recognise and thank.</w:t>
                                          </w:r>
                                          <w:r>
                                            <w:t> </w:t>
                                          </w:r>
                                        </w:p>
                                        <w:p w14:paraId="3D07302F" w14:textId="77777777" w:rsidR="00AF3865" w:rsidRDefault="00AF3865">
                                          <w:pPr>
                                            <w:pStyle w:val="NormalWeb"/>
                                            <w:spacing w:before="0" w:beforeAutospacing="0" w:after="225" w:afterAutospacing="0"/>
                                          </w:pPr>
                                          <w:r>
                                            <w:rPr>
                                              <w:rFonts w:ascii="Calibri" w:hAnsi="Calibri" w:cs="Calibri"/>
                                              <w:sz w:val="23"/>
                                              <w:szCs w:val="23"/>
                                            </w:rPr>
                                            <w:t> </w:t>
                                          </w:r>
                                          <w:r>
                                            <w:t>As we continue to develop and shape the new team, we remain committed to sharing relevant and useful information with you through this newsletter.  Our contact details may be found at the bottom of the newsletter. </w:t>
                                          </w:r>
                                        </w:p>
                                        <w:tbl>
                                          <w:tblPr>
                                            <w:tblW w:w="5000" w:type="pct"/>
                                            <w:jc w:val="center"/>
                                            <w:tblCellMar>
                                              <w:left w:w="0" w:type="dxa"/>
                                              <w:right w:w="0" w:type="dxa"/>
                                            </w:tblCellMar>
                                            <w:tblLook w:val="04A0" w:firstRow="1" w:lastRow="0" w:firstColumn="1" w:lastColumn="0" w:noHBand="0" w:noVBand="1"/>
                                          </w:tblPr>
                                          <w:tblGrid>
                                            <w:gridCol w:w="8565"/>
                                          </w:tblGrid>
                                          <w:tr w:rsidR="00AF3865" w14:paraId="6D005611" w14:textId="77777777">
                                            <w:trPr>
                                              <w:trHeight w:val="150"/>
                                              <w:jc w:val="center"/>
                                            </w:trPr>
                                            <w:tc>
                                              <w:tcPr>
                                                <w:tcW w:w="5000" w:type="pct"/>
                                                <w:vAlign w:val="center"/>
                                                <w:hideMark/>
                                              </w:tcPr>
                                              <w:p w14:paraId="57D04BFF" w14:textId="5F14C714" w:rsidR="00AF3865" w:rsidRDefault="00AF3865">
                                                <w:pPr>
                                                  <w:rPr>
                                                    <w:rFonts w:eastAsia="Times New Roman"/>
                                                  </w:rPr>
                                                </w:pPr>
                                                <w:r>
                                                  <w:rPr>
                                                    <w:rFonts w:eastAsia="Times New Roman"/>
                                                    <w:noProof/>
                                                  </w:rPr>
                                                  <w:drawing>
                                                    <wp:inline distT="0" distB="0" distL="0" distR="0" wp14:anchorId="3451C577" wp14:editId="3C8BED20">
                                                      <wp:extent cx="5731510" cy="98425"/>
                                                      <wp:effectExtent l="0" t="0" r="2540" b="15875"/>
                                                      <wp:docPr id="13075708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40F2C19D" w14:textId="77777777" w:rsidR="00AF3865" w:rsidRDefault="00AF3865">
                                          <w:pPr>
                                            <w:numPr>
                                              <w:ilvl w:val="0"/>
                                              <w:numId w:val="1"/>
                                            </w:numPr>
                                            <w:spacing w:after="100" w:afterAutospacing="1"/>
                                            <w:rPr>
                                              <w:rFonts w:ascii="Calibri" w:eastAsia="Times New Roman" w:hAnsi="Calibri" w:cs="Calibri"/>
                                              <w:sz w:val="23"/>
                                              <w:szCs w:val="23"/>
                                            </w:rPr>
                                          </w:pPr>
                                          <w:hyperlink w:anchor="link_1" w:history="1">
                                            <w:r>
                                              <w:rPr>
                                                <w:rStyle w:val="Hyperlink"/>
                                                <w:rFonts w:ascii="Calibri" w:eastAsia="Times New Roman" w:hAnsi="Calibri" w:cs="Calibri"/>
                                                <w:color w:val="1D5782"/>
                                                <w:sz w:val="23"/>
                                                <w:szCs w:val="23"/>
                                              </w:rPr>
                                              <w:t>National Updates</w:t>
                                            </w:r>
                                          </w:hyperlink>
                                        </w:p>
                                        <w:p w14:paraId="3BFA6C31" w14:textId="77777777" w:rsidR="00AF3865" w:rsidRDefault="00AF3865">
                                          <w:pPr>
                                            <w:numPr>
                                              <w:ilvl w:val="0"/>
                                              <w:numId w:val="1"/>
                                            </w:numPr>
                                            <w:spacing w:before="100" w:beforeAutospacing="1" w:after="100" w:afterAutospacing="1"/>
                                            <w:rPr>
                                              <w:rFonts w:ascii="Calibri" w:eastAsia="Times New Roman" w:hAnsi="Calibri" w:cs="Calibri"/>
                                              <w:sz w:val="23"/>
                                              <w:szCs w:val="23"/>
                                            </w:rPr>
                                          </w:pPr>
                                          <w:hyperlink w:anchor="link_2" w:history="1">
                                            <w:r>
                                              <w:rPr>
                                                <w:rStyle w:val="Hyperlink"/>
                                                <w:rFonts w:ascii="Calibri" w:eastAsia="Times New Roman" w:hAnsi="Calibri" w:cs="Calibri"/>
                                                <w:color w:val="1D5782"/>
                                                <w:sz w:val="23"/>
                                                <w:szCs w:val="23"/>
                                              </w:rPr>
                                              <w:t>Thames Valley System Updates</w:t>
                                            </w:r>
                                          </w:hyperlink>
                                        </w:p>
                                        <w:p w14:paraId="11156A92" w14:textId="77777777" w:rsidR="00AF3865" w:rsidRDefault="00AF3865">
                                          <w:pPr>
                                            <w:numPr>
                                              <w:ilvl w:val="0"/>
                                              <w:numId w:val="1"/>
                                            </w:numPr>
                                            <w:spacing w:before="100" w:beforeAutospacing="1" w:after="100" w:afterAutospacing="1"/>
                                            <w:rPr>
                                              <w:rFonts w:ascii="Calibri" w:eastAsia="Times New Roman" w:hAnsi="Calibri" w:cs="Calibri"/>
                                              <w:sz w:val="23"/>
                                              <w:szCs w:val="23"/>
                                            </w:rPr>
                                          </w:pPr>
                                          <w:hyperlink w:anchor="link_5" w:history="1">
                                            <w:r>
                                              <w:rPr>
                                                <w:rStyle w:val="Hyperlink"/>
                                                <w:rFonts w:ascii="Calibri" w:eastAsia="Times New Roman" w:hAnsi="Calibri" w:cs="Calibri"/>
                                                <w:color w:val="1D5782"/>
                                                <w:sz w:val="23"/>
                                                <w:szCs w:val="23"/>
                                              </w:rPr>
                                              <w:t xml:space="preserve">Place Updates </w:t>
                                            </w:r>
                                          </w:hyperlink>
                                        </w:p>
                                        <w:p w14:paraId="7DA6238D" w14:textId="77777777" w:rsidR="00AF3865" w:rsidRDefault="00AF3865">
                                          <w:pPr>
                                            <w:numPr>
                                              <w:ilvl w:val="0"/>
                                              <w:numId w:val="1"/>
                                            </w:numPr>
                                            <w:spacing w:before="100" w:beforeAutospacing="1" w:after="100" w:afterAutospacing="1"/>
                                            <w:rPr>
                                              <w:rFonts w:ascii="Calibri" w:eastAsia="Times New Roman" w:hAnsi="Calibri" w:cs="Calibri"/>
                                              <w:sz w:val="23"/>
                                              <w:szCs w:val="23"/>
                                            </w:rPr>
                                          </w:pPr>
                                          <w:hyperlink w:anchor="link_3" w:history="1">
                                            <w:r>
                                              <w:rPr>
                                                <w:rStyle w:val="Hyperlink"/>
                                                <w:rFonts w:ascii="Calibri" w:eastAsia="Times New Roman" w:hAnsi="Calibri" w:cs="Calibri"/>
                                                <w:color w:val="1D5782"/>
                                                <w:sz w:val="23"/>
                                                <w:szCs w:val="23"/>
                                              </w:rPr>
                                              <w:t>Training, Meetings &amp; Resources</w:t>
                                            </w:r>
                                          </w:hyperlink>
                                        </w:p>
                                        <w:p w14:paraId="69AEC11F" w14:textId="77777777" w:rsidR="00AF3865" w:rsidRDefault="00AF3865">
                                          <w:pPr>
                                            <w:numPr>
                                              <w:ilvl w:val="0"/>
                                              <w:numId w:val="1"/>
                                            </w:numPr>
                                            <w:spacing w:before="100" w:beforeAutospacing="1" w:after="225"/>
                                            <w:rPr>
                                              <w:rFonts w:ascii="Calibri" w:eastAsia="Times New Roman" w:hAnsi="Calibri" w:cs="Calibri"/>
                                              <w:sz w:val="23"/>
                                              <w:szCs w:val="23"/>
                                            </w:rPr>
                                          </w:pPr>
                                          <w:hyperlink w:anchor="link_4" w:history="1">
                                            <w:r>
                                              <w:rPr>
                                                <w:rStyle w:val="Hyperlink"/>
                                                <w:rFonts w:ascii="Calibri" w:eastAsia="Times New Roman" w:hAnsi="Calibri" w:cs="Calibri"/>
                                                <w:color w:val="1D5782"/>
                                                <w:sz w:val="23"/>
                                                <w:szCs w:val="23"/>
                                              </w:rPr>
                                              <w:t>Other news and information</w:t>
                                            </w:r>
                                          </w:hyperlink>
                                        </w:p>
                                      </w:tc>
                                    </w:tr>
                                  </w:tbl>
                                  <w:p w14:paraId="08AD4F77" w14:textId="77777777" w:rsidR="00AF3865" w:rsidRDefault="00AF3865">
                                    <w:pPr>
                                      <w:jc w:val="center"/>
                                      <w:rPr>
                                        <w:rFonts w:ascii="Times New Roman" w:eastAsia="Times New Roman" w:hAnsi="Times New Roman" w:cs="Times New Roman"/>
                                        <w:sz w:val="20"/>
                                        <w:szCs w:val="20"/>
                                      </w:rPr>
                                    </w:pPr>
                                  </w:p>
                                </w:tc>
                              </w:tr>
                            </w:tbl>
                            <w:p w14:paraId="2FE6F6AC" w14:textId="77777777" w:rsidR="00AF3865" w:rsidRDefault="00AF3865">
                              <w:pPr>
                                <w:jc w:val="center"/>
                                <w:rPr>
                                  <w:rFonts w:ascii="Times New Roman" w:eastAsia="Times New Roman" w:hAnsi="Times New Roman" w:cs="Times New Roman"/>
                                  <w:sz w:val="20"/>
                                  <w:szCs w:val="20"/>
                                </w:rPr>
                              </w:pPr>
                            </w:p>
                          </w:tc>
                        </w:tr>
                      </w:tbl>
                      <w:p w14:paraId="5AC8AB00" w14:textId="77777777" w:rsidR="00AF3865" w:rsidRDefault="00AF3865">
                        <w:pPr>
                          <w:jc w:val="center"/>
                          <w:rPr>
                            <w:rFonts w:ascii="Times New Roman" w:eastAsia="Times New Roman" w:hAnsi="Times New Roman" w:cs="Times New Roman"/>
                            <w:sz w:val="20"/>
                            <w:szCs w:val="20"/>
                          </w:rPr>
                        </w:pPr>
                      </w:p>
                    </w:tc>
                  </w:tr>
                </w:tbl>
                <w:p w14:paraId="5B0BD411" w14:textId="77777777" w:rsidR="00AF3865" w:rsidRDefault="00AF3865">
                  <w:pPr>
                    <w:rPr>
                      <w:rFonts w:eastAsia="Times New Roman"/>
                    </w:rPr>
                  </w:pPr>
                </w:p>
                <w:tbl>
                  <w:tblPr>
                    <w:tblW w:w="9000" w:type="dxa"/>
                    <w:jc w:val="center"/>
                    <w:tblCellMar>
                      <w:left w:w="0" w:type="dxa"/>
                      <w:right w:w="0" w:type="dxa"/>
                    </w:tblCellMar>
                    <w:tblLook w:val="04A0" w:firstRow="1" w:lastRow="0" w:firstColumn="1" w:lastColumn="0" w:noHBand="0" w:noVBand="1"/>
                  </w:tblPr>
                  <w:tblGrid>
                    <w:gridCol w:w="9015"/>
                  </w:tblGrid>
                  <w:tr w:rsidR="00AF3865" w14:paraId="7F08D4E6"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15"/>
                        </w:tblGrid>
                        <w:tr w:rsidR="00AF3865" w14:paraId="49A7ADDD"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15"/>
                              </w:tblGrid>
                              <w:tr w:rsidR="00AF3865" w14:paraId="5A492A4C"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15"/>
                                    </w:tblGrid>
                                    <w:tr w:rsidR="00AF3865" w14:paraId="3943ABDF" w14:textId="77777777">
                                      <w:trPr>
                                        <w:jc w:val="center"/>
                                      </w:trPr>
                                      <w:tc>
                                        <w:tcPr>
                                          <w:tcW w:w="0" w:type="auto"/>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65"/>
                                          </w:tblGrid>
                                          <w:tr w:rsidR="00AF3865" w14:paraId="200C454B" w14:textId="77777777">
                                            <w:trPr>
                                              <w:trHeight w:val="150"/>
                                              <w:jc w:val="center"/>
                                            </w:trPr>
                                            <w:tc>
                                              <w:tcPr>
                                                <w:tcW w:w="5000" w:type="pct"/>
                                                <w:vAlign w:val="center"/>
                                                <w:hideMark/>
                                              </w:tcPr>
                                              <w:p w14:paraId="6FD38117" w14:textId="6A1351EE" w:rsidR="00AF3865" w:rsidRDefault="00AF3865">
                                                <w:pPr>
                                                  <w:rPr>
                                                    <w:rFonts w:eastAsia="Times New Roman"/>
                                                  </w:rPr>
                                                </w:pPr>
                                                <w:r>
                                                  <w:rPr>
                                                    <w:rFonts w:eastAsia="Times New Roman"/>
                                                    <w:noProof/>
                                                  </w:rPr>
                                                  <w:drawing>
                                                    <wp:inline distT="0" distB="0" distL="0" distR="0" wp14:anchorId="40112638" wp14:editId="596DF315">
                                                      <wp:extent cx="5731510" cy="98425"/>
                                                      <wp:effectExtent l="0" t="0" r="2540" b="15875"/>
                                                      <wp:docPr id="3941026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11CB247E" w14:textId="77777777" w:rsidR="00AF3865" w:rsidRDefault="00AF3865">
                                          <w:pPr>
                                            <w:jc w:val="center"/>
                                            <w:rPr>
                                              <w:rFonts w:ascii="Times New Roman" w:eastAsia="Times New Roman" w:hAnsi="Times New Roman" w:cs="Times New Roman"/>
                                              <w:sz w:val="20"/>
                                              <w:szCs w:val="20"/>
                                            </w:rPr>
                                          </w:pPr>
                                        </w:p>
                                      </w:tc>
                                    </w:tr>
                                  </w:tbl>
                                  <w:p w14:paraId="74256964" w14:textId="77777777" w:rsidR="00AF3865" w:rsidRDefault="00AF3865">
                                    <w:pPr>
                                      <w:jc w:val="center"/>
                                      <w:rPr>
                                        <w:rFonts w:ascii="Times New Roman" w:eastAsia="Times New Roman" w:hAnsi="Times New Roman" w:cs="Times New Roman"/>
                                        <w:sz w:val="20"/>
                                        <w:szCs w:val="20"/>
                                      </w:rPr>
                                    </w:pPr>
                                  </w:p>
                                </w:tc>
                              </w:tr>
                            </w:tbl>
                            <w:p w14:paraId="43E880F2" w14:textId="77777777" w:rsidR="00AF3865" w:rsidRDefault="00AF3865">
                              <w:pPr>
                                <w:jc w:val="center"/>
                                <w:rPr>
                                  <w:rFonts w:ascii="Times New Roman" w:eastAsia="Times New Roman" w:hAnsi="Times New Roman" w:cs="Times New Roman"/>
                                  <w:sz w:val="20"/>
                                  <w:szCs w:val="20"/>
                                </w:rPr>
                              </w:pPr>
                            </w:p>
                          </w:tc>
                        </w:tr>
                      </w:tbl>
                      <w:p w14:paraId="40C5CAFB" w14:textId="77777777" w:rsidR="00AF3865" w:rsidRDefault="00AF3865">
                        <w:pPr>
                          <w:jc w:val="center"/>
                          <w:rPr>
                            <w:rFonts w:ascii="Times New Roman" w:eastAsia="Times New Roman" w:hAnsi="Times New Roman" w:cs="Times New Roman"/>
                            <w:sz w:val="20"/>
                            <w:szCs w:val="20"/>
                          </w:rPr>
                        </w:pPr>
                      </w:p>
                    </w:tc>
                  </w:tr>
                </w:tbl>
                <w:p w14:paraId="10DC73F8" w14:textId="77777777" w:rsidR="00AF3865" w:rsidRDefault="00AF3865">
                  <w:pPr>
                    <w:rPr>
                      <w:rFonts w:eastAsia="Times New Roman"/>
                    </w:rPr>
                  </w:pPr>
                </w:p>
                <w:tbl>
                  <w:tblPr>
                    <w:tblW w:w="9000" w:type="dxa"/>
                    <w:jc w:val="center"/>
                    <w:tblCellMar>
                      <w:left w:w="0" w:type="dxa"/>
                      <w:right w:w="0" w:type="dxa"/>
                    </w:tblCellMar>
                    <w:tblLook w:val="04A0" w:firstRow="1" w:lastRow="0" w:firstColumn="1" w:lastColumn="0" w:noHBand="0" w:noVBand="1"/>
                  </w:tblPr>
                  <w:tblGrid>
                    <w:gridCol w:w="9015"/>
                  </w:tblGrid>
                  <w:tr w:rsidR="00AF3865" w14:paraId="0965FE0B"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15"/>
                        </w:tblGrid>
                        <w:tr w:rsidR="00AF3865" w14:paraId="2471AE3C"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15"/>
                              </w:tblGrid>
                              <w:tr w:rsidR="00AF3865" w14:paraId="13EC37D3"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15"/>
                                    </w:tblGrid>
                                    <w:tr w:rsidR="00AF3865" w14:paraId="1D3CEBC8" w14:textId="77777777">
                                      <w:trPr>
                                        <w:jc w:val="center"/>
                                      </w:trPr>
                                      <w:tc>
                                        <w:tcPr>
                                          <w:tcW w:w="0" w:type="auto"/>
                                          <w:tcMar>
                                            <w:top w:w="225" w:type="dxa"/>
                                            <w:left w:w="225" w:type="dxa"/>
                                            <w:bottom w:w="225" w:type="dxa"/>
                                            <w:right w:w="225" w:type="dxa"/>
                                          </w:tcMar>
                                          <w:vAlign w:val="center"/>
                                        </w:tcPr>
                                        <w:p w14:paraId="7459A0AC" w14:textId="77777777" w:rsidR="00AF3865" w:rsidRDefault="00AF3865">
                                          <w:pPr>
                                            <w:pStyle w:val="Heading1"/>
                                            <w:spacing w:before="0" w:after="300"/>
                                            <w:jc w:val="center"/>
                                            <w:rPr>
                                              <w:rFonts w:ascii="Calibri" w:eastAsia="Times New Roman" w:hAnsi="Calibri" w:cs="Calibri"/>
                                              <w:color w:val="003087"/>
                                              <w:sz w:val="53"/>
                                              <w:szCs w:val="53"/>
                                            </w:rPr>
                                          </w:pPr>
                                          <w:bookmarkStart w:id="0" w:name="link_1"/>
                                          <w:r>
                                            <w:rPr>
                                              <w:rFonts w:ascii="Calibri" w:eastAsia="Times New Roman" w:hAnsi="Calibri" w:cs="Calibri"/>
                                              <w:color w:val="003087"/>
                                              <w:sz w:val="53"/>
                                              <w:szCs w:val="53"/>
                                              <w:bdr w:val="none" w:sz="0" w:space="0" w:color="auto" w:frame="1"/>
                                            </w:rPr>
                                            <w:lastRenderedPageBreak/>
                                            <w:t>National Updates</w:t>
                                          </w:r>
                                          <w:bookmarkEnd w:id="0"/>
                                        </w:p>
                                        <w:tbl>
                                          <w:tblPr>
                                            <w:tblW w:w="5000" w:type="pct"/>
                                            <w:jc w:val="center"/>
                                            <w:tblCellMar>
                                              <w:left w:w="0" w:type="dxa"/>
                                              <w:right w:w="0" w:type="dxa"/>
                                            </w:tblCellMar>
                                            <w:tblLook w:val="04A0" w:firstRow="1" w:lastRow="0" w:firstColumn="1" w:lastColumn="0" w:noHBand="0" w:noVBand="1"/>
                                          </w:tblPr>
                                          <w:tblGrid>
                                            <w:gridCol w:w="8565"/>
                                          </w:tblGrid>
                                          <w:tr w:rsidR="00AF3865" w14:paraId="1B570B58" w14:textId="77777777">
                                            <w:trPr>
                                              <w:trHeight w:val="150"/>
                                              <w:jc w:val="center"/>
                                            </w:trPr>
                                            <w:tc>
                                              <w:tcPr>
                                                <w:tcW w:w="5000" w:type="pct"/>
                                                <w:vAlign w:val="center"/>
                                                <w:hideMark/>
                                              </w:tcPr>
                                              <w:p w14:paraId="2D75CD70" w14:textId="7892B86B" w:rsidR="00AF3865" w:rsidRDefault="00AF3865">
                                                <w:pPr>
                                                  <w:rPr>
                                                    <w:rFonts w:eastAsia="Times New Roman"/>
                                                  </w:rPr>
                                                </w:pPr>
                                                <w:r>
                                                  <w:rPr>
                                                    <w:rFonts w:eastAsia="Times New Roman"/>
                                                    <w:noProof/>
                                                  </w:rPr>
                                                  <w:drawing>
                                                    <wp:inline distT="0" distB="0" distL="0" distR="0" wp14:anchorId="6CF410D3" wp14:editId="78308607">
                                                      <wp:extent cx="5731510" cy="98425"/>
                                                      <wp:effectExtent l="0" t="0" r="2540" b="15875"/>
                                                      <wp:docPr id="3990469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755AF7A5" w14:textId="77777777" w:rsidR="00AF3865" w:rsidRDefault="00AF3865">
                                          <w:pPr>
                                            <w:pStyle w:val="Heading2"/>
                                            <w:spacing w:before="199" w:after="270"/>
                                            <w:rPr>
                                              <w:rFonts w:ascii="Calibri" w:eastAsia="Times New Roman" w:hAnsi="Calibri" w:cs="Calibri"/>
                                              <w:color w:val="003087"/>
                                              <w:sz w:val="45"/>
                                              <w:szCs w:val="45"/>
                                            </w:rPr>
                                          </w:pPr>
                                          <w:r>
                                            <w:rPr>
                                              <w:rStyle w:val="Strong"/>
                                              <w:rFonts w:ascii="Calibri" w:eastAsia="Times New Roman" w:hAnsi="Calibri" w:cs="Calibri"/>
                                              <w:b w:val="0"/>
                                              <w:bCs w:val="0"/>
                                              <w:color w:val="003087"/>
                                              <w:sz w:val="45"/>
                                              <w:szCs w:val="45"/>
                                            </w:rPr>
                                            <w:t>Medicines Safety Updates</w:t>
                                          </w:r>
                                        </w:p>
                                        <w:p w14:paraId="3DDB7C7D" w14:textId="77777777" w:rsidR="00AF3865" w:rsidRDefault="00AF3865">
                                          <w:pPr>
                                            <w:pStyle w:val="Heading3"/>
                                            <w:spacing w:before="0" w:after="255"/>
                                            <w:rPr>
                                              <w:rFonts w:ascii="Calibri" w:eastAsia="Times New Roman" w:hAnsi="Calibri" w:cs="Calibri"/>
                                              <w:color w:val="auto"/>
                                              <w:sz w:val="38"/>
                                              <w:szCs w:val="38"/>
                                            </w:rPr>
                                          </w:pPr>
                                          <w:r>
                                            <w:rPr>
                                              <w:rStyle w:val="normaltextrun"/>
                                              <w:rFonts w:ascii="Calibri" w:eastAsia="Times New Roman" w:hAnsi="Calibri" w:cs="Calibri"/>
                                              <w:sz w:val="38"/>
                                              <w:szCs w:val="38"/>
                                            </w:rPr>
                                            <w:t>MHRA Class 2 recall – Ramipril 2.5mg capsules</w:t>
                                          </w:r>
                                          <w:r>
                                            <w:rPr>
                                              <w:rStyle w:val="eop"/>
                                              <w:rFonts w:ascii="Calibri" w:eastAsia="Times New Roman" w:hAnsi="Calibri" w:cs="Calibri"/>
                                              <w:sz w:val="38"/>
                                              <w:szCs w:val="38"/>
                                            </w:rPr>
                                            <w:t> </w:t>
                                          </w:r>
                                          <w:r>
                                            <w:rPr>
                                              <w:rFonts w:ascii="Calibri" w:eastAsia="Times New Roman" w:hAnsi="Calibri" w:cs="Calibri"/>
                                              <w:sz w:val="38"/>
                                              <w:szCs w:val="38"/>
                                            </w:rPr>
                                            <w:t xml:space="preserve"> </w:t>
                                          </w:r>
                                        </w:p>
                                        <w:p w14:paraId="28439184" w14:textId="77777777" w:rsidR="00AF3865" w:rsidRDefault="00AF3865">
                                          <w:pPr>
                                            <w:pStyle w:val="NormalWeb"/>
                                            <w:spacing w:before="0" w:beforeAutospacing="0" w:after="225" w:afterAutospacing="0"/>
                                          </w:pPr>
                                          <w:r>
                                            <w:rPr>
                                              <w:rFonts w:ascii="Calibri" w:hAnsi="Calibri" w:cs="Calibri"/>
                                              <w:sz w:val="23"/>
                                              <w:szCs w:val="23"/>
                                            </w:rPr>
                                            <w:t>Crescent Pharma Limited is initiating a precautionary recall of one batch of </w:t>
                                          </w:r>
                                          <w:r>
                                            <w:rPr>
                                              <w:rStyle w:val="Strong"/>
                                              <w:rFonts w:ascii="Calibri" w:hAnsi="Calibri" w:cs="Calibri"/>
                                            </w:rPr>
                                            <w:t>Ramipril 2.5mg capsules</w:t>
                                          </w:r>
                                          <w:r>
                                            <w:t xml:space="preserve"> following the identification of a potential packaging error at the manufacturing site.  See full details of CAS alert </w:t>
                                          </w:r>
                                          <w:hyperlink r:id="rId11" w:tgtFrame="_blank" w:history="1">
                                            <w:r>
                                              <w:rPr>
                                                <w:rStyle w:val="Hyperlink"/>
                                                <w:color w:val="1D5782"/>
                                              </w:rPr>
                                              <w:t>here.</w:t>
                                            </w:r>
                                          </w:hyperlink>
                                          <w:r>
                                            <w:t> </w:t>
                                          </w:r>
                                        </w:p>
                                        <w:p w14:paraId="43324115" w14:textId="77777777" w:rsidR="00AF3865" w:rsidRDefault="00AF3865">
                                          <w:pPr>
                                            <w:pStyle w:val="NormalWeb"/>
                                            <w:spacing w:before="0" w:beforeAutospacing="0" w:after="225" w:afterAutospacing="0"/>
                                          </w:pPr>
                                          <w:r>
                                            <w:rPr>
                                              <w:rFonts w:ascii="Calibri" w:hAnsi="Calibri" w:cs="Calibri"/>
                                              <w:sz w:val="23"/>
                                              <w:szCs w:val="23"/>
                                            </w:rPr>
                                            <w:t>The Medicines Optimisation team (MOT) have been liaising with the hospital trusts in Thames Valley regarding this recall. Trust pharmacy departments, that have received the affected batch are currently contacting patients to ask them to check their medicines. Any patients found to have an incorrect strength will be advised to contact their GP and community pharmacy, as per the CAS Alert.  </w:t>
                                          </w:r>
                                        </w:p>
                                        <w:p w14:paraId="79F78B15" w14:textId="77777777" w:rsidR="00AF3865" w:rsidRDefault="00AF3865">
                                          <w:pPr>
                                            <w:pStyle w:val="NormalWeb"/>
                                            <w:spacing w:before="0" w:beforeAutospacing="0" w:after="225" w:afterAutospacing="0"/>
                                          </w:pPr>
                                          <w:r>
                                            <w:rPr>
                                              <w:rFonts w:ascii="Calibri" w:hAnsi="Calibri" w:cs="Calibri"/>
                                              <w:sz w:val="23"/>
                                              <w:szCs w:val="23"/>
                                            </w:rPr>
                                            <w:t>P</w:t>
                                          </w:r>
                                          <w:r>
                                            <w:rPr>
                                              <w:rStyle w:val="normaltextrun"/>
                                              <w:rFonts w:ascii="Calibri" w:hAnsi="Calibri" w:cs="Calibri"/>
                                              <w:sz w:val="23"/>
                                              <w:szCs w:val="23"/>
                                            </w:rPr>
                                            <w:t>ractices may wish to identify patients and send text messages to patients. </w:t>
                                          </w:r>
                                          <w:r>
                                            <w:rPr>
                                              <w:rFonts w:ascii="Calibri" w:hAnsi="Calibri" w:cs="Calibri"/>
                                              <w:sz w:val="23"/>
                                              <w:szCs w:val="23"/>
                                            </w:rPr>
                                            <w:t> MOT have created a search for Emis practices which can be downloaded from </w:t>
                                          </w:r>
                                          <w:hyperlink r:id="rId12" w:tgtFrame="_blank" w:history="1">
                                            <w:r>
                                              <w:rPr>
                                                <w:rStyle w:val="normaltextrun"/>
                                                <w:rFonts w:ascii="Calibri" w:hAnsi="Calibri" w:cs="Calibri"/>
                                                <w:color w:val="1D5782"/>
                                                <w:sz w:val="23"/>
                                                <w:szCs w:val="23"/>
                                                <w:u w:val="single"/>
                                              </w:rPr>
                                              <w:t xml:space="preserve"> BOB </w:t>
                                            </w:r>
                                            <w:proofErr w:type="spellStart"/>
                                            <w:r>
                                              <w:rPr>
                                                <w:rStyle w:val="normaltextrun"/>
                                                <w:rFonts w:ascii="Calibri" w:hAnsi="Calibri" w:cs="Calibri"/>
                                                <w:color w:val="1D5782"/>
                                                <w:sz w:val="23"/>
                                                <w:szCs w:val="23"/>
                                                <w:u w:val="single"/>
                                              </w:rPr>
                                              <w:t>sharepoint</w:t>
                                            </w:r>
                                            <w:proofErr w:type="spellEnd"/>
                                          </w:hyperlink>
                                          <w:r>
                                            <w:rPr>
                                              <w:rStyle w:val="normaltextrun"/>
                                              <w:rFonts w:ascii="Calibri" w:hAnsi="Calibri" w:cs="Calibri"/>
                                              <w:sz w:val="23"/>
                                              <w:szCs w:val="23"/>
                                            </w:rPr>
                                            <w:t>.</w:t>
                                          </w:r>
                                          <w:r>
                                            <w:rPr>
                                              <w:rFonts w:ascii="Calibri" w:hAnsi="Calibri" w:cs="Calibri"/>
                                              <w:sz w:val="23"/>
                                              <w:szCs w:val="23"/>
                                            </w:rPr>
                                            <w:t xml:space="preserve">  For East Berkshire practices the search is also in Emis Enterprise: East Berkshire CCG Reporting -&gt; MOT -&gt; Medicines Safety -&gt; Recalls -&gt; Ramipril 2.5mg Caps Crescent Pharma </w:t>
                                          </w:r>
                                          <w:proofErr w:type="gramStart"/>
                                          <w:r>
                                            <w:rPr>
                                              <w:rFonts w:ascii="Calibri" w:hAnsi="Calibri" w:cs="Calibri"/>
                                              <w:sz w:val="23"/>
                                              <w:szCs w:val="23"/>
                                            </w:rPr>
                                            <w:t>Recall</w:t>
                                          </w:r>
                                          <w:r>
                                            <w:rPr>
                                              <w:rStyle w:val="eop"/>
                                              <w:rFonts w:ascii="Calibri" w:hAnsi="Calibri" w:cs="Calibri"/>
                                              <w:sz w:val="23"/>
                                              <w:szCs w:val="23"/>
                                            </w:rPr>
                                            <w:t xml:space="preserve"> .</w:t>
                                          </w:r>
                                          <w:proofErr w:type="gramEnd"/>
                                        </w:p>
                                        <w:p w14:paraId="289F9745" w14:textId="77777777" w:rsidR="00AF3865" w:rsidRDefault="00AF3865">
                                          <w:pPr>
                                            <w:pStyle w:val="NormalWeb"/>
                                            <w:spacing w:before="0" w:beforeAutospacing="0" w:after="225" w:afterAutospacing="0"/>
                                          </w:pPr>
                                          <w:r>
                                            <w:rPr>
                                              <w:rFonts w:ascii="Calibri" w:hAnsi="Calibri" w:cs="Calibri"/>
                                              <w:sz w:val="23"/>
                                              <w:szCs w:val="23"/>
                                            </w:rPr>
                                            <w:t xml:space="preserve">If any </w:t>
                                          </w:r>
                                          <w:proofErr w:type="spellStart"/>
                                          <w:r>
                                            <w:rPr>
                                              <w:rFonts w:ascii="Calibri" w:hAnsi="Calibri" w:cs="Calibri"/>
                                              <w:sz w:val="23"/>
                                              <w:szCs w:val="23"/>
                                            </w:rPr>
                                            <w:t>SystmOne</w:t>
                                          </w:r>
                                          <w:proofErr w:type="spellEnd"/>
                                          <w:r>
                                            <w:rPr>
                                              <w:rFonts w:ascii="Calibri" w:hAnsi="Calibri" w:cs="Calibri"/>
                                              <w:sz w:val="23"/>
                                              <w:szCs w:val="23"/>
                                            </w:rPr>
                                            <w:t xml:space="preserve"> practice requires support with writing a search, please contact the MOT.</w:t>
                                          </w:r>
                                        </w:p>
                                        <w:p w14:paraId="0D7B089D" w14:textId="77777777" w:rsidR="00AF3865" w:rsidRDefault="00AF3865">
                                          <w:pPr>
                                            <w:pStyle w:val="NormalWeb"/>
                                            <w:spacing w:before="0" w:beforeAutospacing="0" w:after="225" w:afterAutospacing="0"/>
                                          </w:pPr>
                                          <w:r>
                                            <w:rPr>
                                              <w:rFonts w:ascii="Calibri" w:hAnsi="Calibri" w:cs="Calibri"/>
                                              <w:sz w:val="23"/>
                                              <w:szCs w:val="23"/>
                                            </w:rPr>
                                            <w:t> </w:t>
                                          </w:r>
                                          <w:r>
                                            <w:rPr>
                                              <w:rStyle w:val="Emphasis"/>
                                              <w:rFonts w:ascii="Calibri" w:hAnsi="Calibri" w:cs="Calibri"/>
                                            </w:rPr>
                                            <w:t>Please note also that there has been an extension to the </w:t>
                                          </w:r>
                                          <w:hyperlink r:id="rId13" w:tgtFrame="_blank" w:history="1">
                                            <w:r>
                                              <w:rPr>
                                                <w:rStyle w:val="Emphasis"/>
                                                <w:rFonts w:ascii="Calibri" w:hAnsi="Calibri" w:cs="Calibri"/>
                                                <w:color w:val="1D5782"/>
                                                <w:u w:val="single"/>
                                              </w:rPr>
                                              <w:t>Serious Shortage Protocol</w:t>
                                            </w:r>
                                          </w:hyperlink>
                                          <w:r>
                                            <w:rPr>
                                              <w:rStyle w:val="Emphasis"/>
                                              <w:rFonts w:ascii="Calibri" w:hAnsi="Calibri" w:cs="Calibri"/>
                                            </w:rPr>
                                            <w:t> for </w:t>
                                          </w:r>
                                          <w:r>
                                            <w:t> </w:t>
                                          </w:r>
                                        </w:p>
                                        <w:p w14:paraId="44061AA5" w14:textId="77777777" w:rsidR="00AF3865" w:rsidRDefault="00AF3865">
                                          <w:pPr>
                                            <w:pStyle w:val="NormalWeb"/>
                                            <w:spacing w:before="0" w:beforeAutospacing="0" w:after="225" w:afterAutospacing="0"/>
                                          </w:pPr>
                                          <w:r>
                                            <w:rPr>
                                              <w:rStyle w:val="Emphasis"/>
                                              <w:rFonts w:ascii="Calibri" w:hAnsi="Calibri" w:cs="Calibri"/>
                                              <w:b/>
                                              <w:bCs/>
                                              <w:sz w:val="23"/>
                                              <w:szCs w:val="23"/>
                                            </w:rPr>
                                            <w:t>Ramipril 1.25mg capsules</w:t>
                                          </w:r>
                                          <w:r>
                                            <w:rPr>
                                              <w:rStyle w:val="Emphasis"/>
                                              <w:rFonts w:ascii="Calibri" w:hAnsi="Calibri" w:cs="Calibri"/>
                                              <w:sz w:val="23"/>
                                              <w:szCs w:val="23"/>
                                            </w:rPr>
                                            <w:t> until </w:t>
                                          </w:r>
                                          <w:r>
                                            <w:rPr>
                                              <w:rStyle w:val="Emphasis"/>
                                              <w:b/>
                                              <w:bCs/>
                                            </w:rPr>
                                            <w:t>24th July 2026</w:t>
                                          </w:r>
                                          <w:r>
                                            <w:rPr>
                                              <w:rStyle w:val="Emphasis"/>
                                            </w:rPr>
                                            <w:t> (originally 29th May 2026).  </w:t>
                                          </w:r>
                                          <w:r>
                                            <w:rPr>
                                              <w:rFonts w:ascii="Calibri" w:hAnsi="Calibri" w:cs="Calibri"/>
                                              <w:sz w:val="23"/>
                                              <w:szCs w:val="23"/>
                                            </w:rPr>
                                            <w:t> </w:t>
                                          </w:r>
                                        </w:p>
                                        <w:p w14:paraId="3938FAD7" w14:textId="77777777" w:rsidR="00AF3865" w:rsidRDefault="00AF3865">
                                          <w:pPr>
                                            <w:pStyle w:val="NormalWeb"/>
                                            <w:spacing w:before="0" w:beforeAutospacing="0" w:after="225" w:afterAutospacing="0"/>
                                          </w:pPr>
                                          <w:r>
                                            <w:rPr>
                                              <w:rStyle w:val="Strong"/>
                                              <w:rFonts w:ascii="Calibri" w:hAnsi="Calibri" w:cs="Calibri"/>
                                              <w:sz w:val="23"/>
                                              <w:szCs w:val="23"/>
                                            </w:rPr>
                                            <w:t xml:space="preserve">Actions for Practices: </w:t>
                                          </w:r>
                                          <w:r>
                                            <w:rPr>
                                              <w:rFonts w:ascii="Calibri" w:hAnsi="Calibri" w:cs="Calibri"/>
                                              <w:sz w:val="23"/>
                                              <w:szCs w:val="23"/>
                                            </w:rPr>
                                            <w:t> </w:t>
                                          </w:r>
                                        </w:p>
                                        <w:p w14:paraId="59FBEE35" w14:textId="77777777" w:rsidR="00AF3865" w:rsidRDefault="00AF3865">
                                          <w:pPr>
                                            <w:numPr>
                                              <w:ilvl w:val="0"/>
                                              <w:numId w:val="2"/>
                                            </w:numPr>
                                            <w:spacing w:after="225"/>
                                          </w:pPr>
                                          <w:r>
                                            <w:rPr>
                                              <w:rFonts w:ascii="Calibri" w:eastAsia="Times New Roman" w:hAnsi="Calibri" w:cs="Calibri"/>
                                              <w:sz w:val="23"/>
                                              <w:szCs w:val="23"/>
                                            </w:rPr>
                                            <w:t>Quarantine any stock of the affected batch and return via the usual route</w:t>
                                          </w:r>
                                          <w:r>
                                            <w:t xml:space="preserve">  </w:t>
                                          </w:r>
                                        </w:p>
                                        <w:p w14:paraId="30EE5ADF" w14:textId="77777777" w:rsidR="00AF3865" w:rsidRDefault="00AF3865">
                                          <w:pPr>
                                            <w:numPr>
                                              <w:ilvl w:val="0"/>
                                              <w:numId w:val="3"/>
                                            </w:numPr>
                                            <w:spacing w:after="225"/>
                                          </w:pPr>
                                          <w:r>
                                            <w:rPr>
                                              <w:rFonts w:ascii="Calibri" w:eastAsia="Times New Roman" w:hAnsi="Calibri" w:cs="Calibri"/>
                                              <w:sz w:val="23"/>
                                              <w:szCs w:val="23"/>
                                            </w:rPr>
                                            <w:t xml:space="preserve">Do not issue 2 x 1.25mg ramipril capsules in place of 2.5mg ramipril capsules, and refer to </w:t>
                                          </w:r>
                                          <w:hyperlink r:id="rId14" w:tgtFrame="_blank" w:history="1">
                                            <w:r>
                                              <w:rPr>
                                                <w:rStyle w:val="Hyperlink"/>
                                                <w:color w:val="1D5782"/>
                                              </w:rPr>
                                              <w:t>SSP</w:t>
                                            </w:r>
                                          </w:hyperlink>
                                          <w:r>
                                            <w:t xml:space="preserve"> for further information on prescribing during the shortage.  </w:t>
                                          </w:r>
                                        </w:p>
                                        <w:p w14:paraId="4320DAE7" w14:textId="77777777" w:rsidR="00AF3865" w:rsidRDefault="00AF3865">
                                          <w:pPr>
                                            <w:pStyle w:val="Heading3"/>
                                            <w:spacing w:before="0" w:after="255"/>
                                            <w:rPr>
                                              <w:rFonts w:ascii="Calibri" w:eastAsia="Times New Roman" w:hAnsi="Calibri" w:cs="Calibri"/>
                                              <w:sz w:val="38"/>
                                              <w:szCs w:val="38"/>
                                            </w:rPr>
                                          </w:pPr>
                                          <w:r>
                                            <w:rPr>
                                              <w:rStyle w:val="normaltextrun"/>
                                              <w:rFonts w:ascii="Calibri" w:eastAsia="Times New Roman" w:hAnsi="Calibri" w:cs="Calibri"/>
                                              <w:sz w:val="38"/>
                                              <w:szCs w:val="38"/>
                                            </w:rPr>
                                            <w:t>Fraud Alert – Mounjaro</w:t>
                                          </w:r>
                                          <w:r>
                                            <w:rPr>
                                              <w:rStyle w:val="normaltextrun"/>
                                            </w:rPr>
                                            <w:t>®(tirzepatide) and Weight Loss Medications</w:t>
                                          </w:r>
                                          <w:r>
                                            <w:rPr>
                                              <w:rStyle w:val="eop"/>
                                              <w:rFonts w:ascii="Calibri" w:eastAsia="Times New Roman" w:hAnsi="Calibri" w:cs="Calibri"/>
                                              <w:sz w:val="38"/>
                                              <w:szCs w:val="38"/>
                                            </w:rPr>
                                            <w:t> </w:t>
                                          </w:r>
                                          <w:r>
                                            <w:rPr>
                                              <w:rFonts w:ascii="Calibri" w:eastAsia="Times New Roman" w:hAnsi="Calibri" w:cs="Calibri"/>
                                              <w:sz w:val="38"/>
                                              <w:szCs w:val="38"/>
                                            </w:rPr>
                                            <w:t xml:space="preserve"> </w:t>
                                          </w:r>
                                        </w:p>
                                        <w:p w14:paraId="5E7AAB1B" w14:textId="77777777" w:rsidR="00AF3865" w:rsidRDefault="00AF3865">
                                          <w:pPr>
                                            <w:pStyle w:val="NormalWeb"/>
                                            <w:spacing w:before="0" w:beforeAutospacing="0" w:after="225" w:afterAutospacing="0"/>
                                          </w:pPr>
                                          <w:r>
                                            <w:rPr>
                                              <w:rFonts w:ascii="Calibri" w:hAnsi="Calibri" w:cs="Calibri"/>
                                              <w:sz w:val="23"/>
                                              <w:szCs w:val="23"/>
                                            </w:rPr>
                                            <w:t>A </w:t>
                                          </w:r>
                                          <w:r>
                                            <w:t xml:space="preserve">Fraud Alert </w:t>
                                          </w:r>
                                          <w:hyperlink r:id="rId15" w:tgtFrame="_blank" w:history="1">
                                            <w:r>
                                              <w:rPr>
                                                <w:rStyle w:val="Hyperlink"/>
                                                <w:color w:val="1D5782"/>
                                              </w:rPr>
                                              <w:t xml:space="preserve">Misuse of FP10 Prescriptions – </w:t>
                                            </w:r>
                                            <w:proofErr w:type="spellStart"/>
                                            <w:r>
                                              <w:rPr>
                                                <w:rStyle w:val="Hyperlink"/>
                                                <w:color w:val="1D5782"/>
                                              </w:rPr>
                                              <w:t>Mounjaro</w:t>
                                            </w:r>
                                            <w:proofErr w:type="spellEnd"/>
                                            <w:r>
                                              <w:rPr>
                                                <w:rStyle w:val="Hyperlink"/>
                                                <w:color w:val="1D5782"/>
                                              </w:rPr>
                                              <w:t xml:space="preserve"> and Weight Loss Medications - TIAA</w:t>
                                            </w:r>
                                          </w:hyperlink>
                                          <w:r>
                                            <w:t xml:space="preserve"> has been published around the misuse of FP10 (paper) </w:t>
                                          </w:r>
                                          <w:r>
                                            <w:lastRenderedPageBreak/>
                                            <w:t xml:space="preserve">prescriptions for </w:t>
                                          </w:r>
                                          <w:proofErr w:type="spellStart"/>
                                          <w:r>
                                            <w:t>Mounjaro</w:t>
                                          </w:r>
                                          <w:proofErr w:type="spellEnd"/>
                                          <w:r>
                                            <w:t>® and other weight loss medications.  Approximately 70 fraudulent prescriptions (estimated value £30K) have been identified to date. </w:t>
                                          </w:r>
                                        </w:p>
                                        <w:p w14:paraId="230306D3" w14:textId="77777777" w:rsidR="00AF3865" w:rsidRDefault="00AF3865">
                                          <w:pPr>
                                            <w:pStyle w:val="NormalWeb"/>
                                            <w:spacing w:before="0" w:beforeAutospacing="0" w:after="225" w:afterAutospacing="0"/>
                                          </w:pPr>
                                          <w:r>
                                            <w:rPr>
                                              <w:rFonts w:ascii="Calibri" w:hAnsi="Calibri" w:cs="Calibri"/>
                                              <w:sz w:val="23"/>
                                              <w:szCs w:val="23"/>
                                            </w:rPr>
                                            <w:t> </w:t>
                                          </w:r>
                                          <w:proofErr w:type="gramStart"/>
                                          <w:r>
                                            <w:t>A number of</w:t>
                                          </w:r>
                                          <w:proofErr w:type="gramEnd"/>
                                          <w:r>
                                            <w:t> factors could contribute to the fraudulent issue of prescriptions by GP practices including: </w:t>
                                          </w:r>
                                        </w:p>
                                        <w:p w14:paraId="4629823A" w14:textId="77777777" w:rsidR="00AF3865" w:rsidRDefault="00AF3865">
                                          <w:pPr>
                                            <w:numPr>
                                              <w:ilvl w:val="0"/>
                                              <w:numId w:val="4"/>
                                            </w:numPr>
                                            <w:spacing w:after="225"/>
                                          </w:pPr>
                                          <w:r>
                                            <w:rPr>
                                              <w:rFonts w:ascii="Calibri" w:eastAsia="Times New Roman" w:hAnsi="Calibri" w:cs="Calibri"/>
                                              <w:sz w:val="23"/>
                                              <w:szCs w:val="23"/>
                                            </w:rPr>
                                            <w:t>Unauthorised access to patient records by staff</w:t>
                                          </w:r>
                                          <w:r>
                                            <w:t xml:space="preserve">  </w:t>
                                          </w:r>
                                        </w:p>
                                        <w:p w14:paraId="4175C00A" w14:textId="77777777" w:rsidR="00AF3865" w:rsidRDefault="00AF3865">
                                          <w:pPr>
                                            <w:numPr>
                                              <w:ilvl w:val="0"/>
                                              <w:numId w:val="5"/>
                                            </w:numPr>
                                            <w:spacing w:after="225"/>
                                          </w:pPr>
                                          <w:r>
                                            <w:rPr>
                                              <w:rFonts w:ascii="Calibri" w:eastAsia="Times New Roman" w:hAnsi="Calibri" w:cs="Calibri"/>
                                              <w:sz w:val="23"/>
                                              <w:szCs w:val="23"/>
                                            </w:rPr>
                                            <w:t>Creation of false prescription entries</w:t>
                                          </w:r>
                                          <w:r>
                                            <w:t xml:space="preserve">  </w:t>
                                          </w:r>
                                        </w:p>
                                        <w:p w14:paraId="5D5518B9" w14:textId="77777777" w:rsidR="00AF3865" w:rsidRDefault="00AF3865">
                                          <w:pPr>
                                            <w:numPr>
                                              <w:ilvl w:val="0"/>
                                              <w:numId w:val="6"/>
                                            </w:numPr>
                                            <w:spacing w:after="225"/>
                                          </w:pPr>
                                          <w:r>
                                            <w:rPr>
                                              <w:rFonts w:ascii="Calibri" w:eastAsia="Times New Roman" w:hAnsi="Calibri" w:cs="Calibri"/>
                                              <w:sz w:val="23"/>
                                              <w:szCs w:val="23"/>
                                            </w:rPr>
                                            <w:t>Generation of printed FP10 paper prescriptions</w:t>
                                          </w:r>
                                          <w:r>
                                            <w:t xml:space="preserve">  </w:t>
                                          </w:r>
                                        </w:p>
                                        <w:p w14:paraId="24A249ED" w14:textId="77777777" w:rsidR="00AF3865" w:rsidRDefault="00AF3865">
                                          <w:pPr>
                                            <w:numPr>
                                              <w:ilvl w:val="0"/>
                                              <w:numId w:val="7"/>
                                            </w:numPr>
                                            <w:spacing w:after="225"/>
                                          </w:pPr>
                                          <w:r>
                                            <w:rPr>
                                              <w:rFonts w:ascii="Calibri" w:eastAsia="Times New Roman" w:hAnsi="Calibri" w:cs="Calibri"/>
                                              <w:sz w:val="23"/>
                                              <w:szCs w:val="23"/>
                                            </w:rPr>
                                            <w:t>Concealment of activity e.g. subsequently deleting or cancelling prescriptions.</w:t>
                                          </w:r>
                                          <w:r>
                                            <w:t xml:space="preserve">  </w:t>
                                          </w:r>
                                        </w:p>
                                        <w:p w14:paraId="00FABEFA" w14:textId="77777777" w:rsidR="00AF3865" w:rsidRDefault="00AF3865">
                                          <w:pPr>
                                            <w:pStyle w:val="NormalWeb"/>
                                            <w:spacing w:before="0" w:beforeAutospacing="0" w:after="225" w:afterAutospacing="0"/>
                                          </w:pPr>
                                          <w:r>
                                            <w:rPr>
                                              <w:rFonts w:ascii="Calibri" w:hAnsi="Calibri" w:cs="Calibri"/>
                                              <w:sz w:val="23"/>
                                              <w:szCs w:val="23"/>
                                            </w:rPr>
                                            <w:t> </w:t>
                                          </w:r>
                                          <w:r>
                                            <w:t>Medications which may be subject to fraudulent prescribing include (but not limited to): </w:t>
                                          </w:r>
                                        </w:p>
                                        <w:p w14:paraId="2E7D20F0" w14:textId="77777777" w:rsidR="00AF3865" w:rsidRDefault="00AF3865">
                                          <w:pPr>
                                            <w:numPr>
                                              <w:ilvl w:val="0"/>
                                              <w:numId w:val="8"/>
                                            </w:numPr>
                                            <w:spacing w:after="225"/>
                                          </w:pPr>
                                          <w:r>
                                            <w:rPr>
                                              <w:rFonts w:ascii="Calibri" w:eastAsia="Times New Roman" w:hAnsi="Calibri" w:cs="Calibri"/>
                                              <w:sz w:val="23"/>
                                              <w:szCs w:val="23"/>
                                            </w:rPr>
                                            <w:t xml:space="preserve">Tirzepatide/ </w:t>
                                          </w:r>
                                          <w:proofErr w:type="spellStart"/>
                                          <w:r>
                                            <w:rPr>
                                              <w:rFonts w:ascii="Calibri" w:eastAsia="Times New Roman" w:hAnsi="Calibri" w:cs="Calibri"/>
                                              <w:sz w:val="23"/>
                                              <w:szCs w:val="23"/>
                                            </w:rPr>
                                            <w:t>Mounjaro</w:t>
                                          </w:r>
                                          <w:proofErr w:type="spellEnd"/>
                                          <w:r>
                                            <w:rPr>
                                              <w:rFonts w:ascii="Calibri" w:eastAsia="Times New Roman" w:hAnsi="Calibri" w:cs="Calibri"/>
                                              <w:sz w:val="23"/>
                                              <w:szCs w:val="23"/>
                                            </w:rPr>
                                            <w:t>® injections</w:t>
                                          </w:r>
                                          <w:r>
                                            <w:t xml:space="preserve">  </w:t>
                                          </w:r>
                                        </w:p>
                                        <w:p w14:paraId="11655FCC" w14:textId="77777777" w:rsidR="00AF3865" w:rsidRDefault="00AF3865">
                                          <w:pPr>
                                            <w:numPr>
                                              <w:ilvl w:val="0"/>
                                              <w:numId w:val="9"/>
                                            </w:numPr>
                                            <w:spacing w:after="225"/>
                                          </w:pPr>
                                          <w:r>
                                            <w:rPr>
                                              <w:rFonts w:ascii="Calibri" w:eastAsia="Times New Roman" w:hAnsi="Calibri" w:cs="Calibri"/>
                                              <w:sz w:val="23"/>
                                              <w:szCs w:val="23"/>
                                            </w:rPr>
                                            <w:t>Semaglutide/</w:t>
                                          </w:r>
                                          <w:proofErr w:type="spellStart"/>
                                          <w:r>
                                            <w:rPr>
                                              <w:rFonts w:ascii="Calibri" w:eastAsia="Times New Roman" w:hAnsi="Calibri" w:cs="Calibri"/>
                                              <w:sz w:val="23"/>
                                              <w:szCs w:val="23"/>
                                            </w:rPr>
                                            <w:t>Wegovy</w:t>
                                          </w:r>
                                          <w:proofErr w:type="spellEnd"/>
                                          <w:r>
                                            <w:rPr>
                                              <w:rFonts w:ascii="Calibri" w:eastAsia="Times New Roman" w:hAnsi="Calibri" w:cs="Calibri"/>
                                              <w:sz w:val="23"/>
                                              <w:szCs w:val="23"/>
                                            </w:rPr>
                                            <w:t>® injections</w:t>
                                          </w:r>
                                          <w:r>
                                            <w:t xml:space="preserve">  </w:t>
                                          </w:r>
                                        </w:p>
                                        <w:p w14:paraId="7918D475" w14:textId="77777777" w:rsidR="00AF3865" w:rsidRDefault="00AF3865">
                                          <w:pPr>
                                            <w:numPr>
                                              <w:ilvl w:val="0"/>
                                              <w:numId w:val="10"/>
                                            </w:numPr>
                                            <w:spacing w:after="225"/>
                                          </w:pPr>
                                          <w:r>
                                            <w:rPr>
                                              <w:rFonts w:ascii="Calibri" w:eastAsia="Times New Roman" w:hAnsi="Calibri" w:cs="Calibri"/>
                                              <w:sz w:val="23"/>
                                              <w:szCs w:val="23"/>
                                            </w:rPr>
                                            <w:t>Liraglutide/</w:t>
                                          </w:r>
                                          <w:proofErr w:type="spellStart"/>
                                          <w:r>
                                            <w:rPr>
                                              <w:rFonts w:ascii="Calibri" w:eastAsia="Times New Roman" w:hAnsi="Calibri" w:cs="Calibri"/>
                                              <w:sz w:val="23"/>
                                              <w:szCs w:val="23"/>
                                            </w:rPr>
                                            <w:t>Saxenda</w:t>
                                          </w:r>
                                          <w:proofErr w:type="spellEnd"/>
                                          <w:r>
                                            <w:rPr>
                                              <w:rFonts w:ascii="Calibri" w:eastAsia="Times New Roman" w:hAnsi="Calibri" w:cs="Calibri"/>
                                              <w:sz w:val="23"/>
                                              <w:szCs w:val="23"/>
                                            </w:rPr>
                                            <w:t>®/</w:t>
                                          </w:r>
                                          <w:proofErr w:type="spellStart"/>
                                          <w:r>
                                            <w:rPr>
                                              <w:rFonts w:ascii="Calibri" w:eastAsia="Times New Roman" w:hAnsi="Calibri" w:cs="Calibri"/>
                                              <w:sz w:val="23"/>
                                              <w:szCs w:val="23"/>
                                            </w:rPr>
                                            <w:t>Nevolat</w:t>
                                          </w:r>
                                          <w:proofErr w:type="spellEnd"/>
                                          <w:r>
                                            <w:rPr>
                                              <w:rFonts w:ascii="Calibri" w:eastAsia="Times New Roman" w:hAnsi="Calibri" w:cs="Calibri"/>
                                              <w:sz w:val="23"/>
                                              <w:szCs w:val="23"/>
                                            </w:rPr>
                                            <w:t>®  </w:t>
                                          </w:r>
                                          <w:r>
                                            <w:t xml:space="preserve">  </w:t>
                                          </w:r>
                                        </w:p>
                                        <w:p w14:paraId="489B8FAA" w14:textId="77777777" w:rsidR="00AF3865" w:rsidRDefault="00AF3865">
                                          <w:pPr>
                                            <w:pStyle w:val="NormalWeb"/>
                                            <w:spacing w:before="0" w:beforeAutospacing="0" w:after="225" w:afterAutospacing="0"/>
                                          </w:pPr>
                                          <w:r>
                                            <w:rPr>
                                              <w:rFonts w:ascii="Calibri" w:hAnsi="Calibri" w:cs="Calibri"/>
                                              <w:sz w:val="23"/>
                                              <w:szCs w:val="23"/>
                                            </w:rPr>
                                            <w:t> </w:t>
                                          </w:r>
                                          <w:r>
                                            <w:t>Community pharmacies have also received this fraud alert, therefore building good relationships may help identify any concerns and prevent fraudsters accessing medication. </w:t>
                                          </w:r>
                                        </w:p>
                                        <w:p w14:paraId="12E3586F" w14:textId="77777777" w:rsidR="00AF3865" w:rsidRDefault="00AF3865">
                                          <w:pPr>
                                            <w:pStyle w:val="NormalWeb"/>
                                            <w:spacing w:before="0" w:beforeAutospacing="0" w:after="225" w:afterAutospacing="0"/>
                                          </w:pPr>
                                          <w:r>
                                            <w:rPr>
                                              <w:rStyle w:val="Strong"/>
                                              <w:rFonts w:ascii="Calibri" w:hAnsi="Calibri" w:cs="Calibri"/>
                                              <w:sz w:val="23"/>
                                              <w:szCs w:val="23"/>
                                            </w:rPr>
                                            <w:t>Actions for Practices:</w:t>
                                          </w:r>
                                          <w:r>
                                            <w:rPr>
                                              <w:rFonts w:ascii="Calibri" w:hAnsi="Calibri" w:cs="Calibri"/>
                                              <w:sz w:val="23"/>
                                              <w:szCs w:val="23"/>
                                            </w:rPr>
                                            <w:t> </w:t>
                                          </w:r>
                                        </w:p>
                                        <w:p w14:paraId="36C44E7A" w14:textId="77777777" w:rsidR="00AF3865" w:rsidRDefault="00AF3865">
                                          <w:pPr>
                                            <w:numPr>
                                              <w:ilvl w:val="0"/>
                                              <w:numId w:val="11"/>
                                            </w:numPr>
                                            <w:spacing w:after="100" w:afterAutospacing="1"/>
                                          </w:pPr>
                                          <w:r>
                                            <w:rPr>
                                              <w:rFonts w:ascii="Calibri" w:eastAsia="Times New Roman" w:hAnsi="Calibri" w:cs="Calibri"/>
                                              <w:sz w:val="23"/>
                                              <w:szCs w:val="23"/>
                                            </w:rPr>
                                            <w:t xml:space="preserve">Review governance and controls around clinical system access within the practice  </w:t>
                                          </w:r>
                                        </w:p>
                                        <w:p w14:paraId="240361FC" w14:textId="77777777" w:rsidR="00AF3865" w:rsidRDefault="00AF3865">
                                          <w:pPr>
                                            <w:numPr>
                                              <w:ilvl w:val="0"/>
                                              <w:numId w:val="11"/>
                                            </w:numPr>
                                            <w:spacing w:before="100" w:beforeAutospacing="1" w:after="225"/>
                                          </w:pPr>
                                          <w:r>
                                            <w:rPr>
                                              <w:rFonts w:ascii="Calibri" w:eastAsia="Times New Roman" w:hAnsi="Calibri" w:cs="Calibri"/>
                                              <w:sz w:val="23"/>
                                              <w:szCs w:val="23"/>
                                            </w:rPr>
                                            <w:t xml:space="preserve">Ensure all staff are familiar with policies for issuing prescriptions, and that it covers:  </w:t>
                                          </w:r>
                                        </w:p>
                                        <w:p w14:paraId="30D2B4D9" w14:textId="77777777" w:rsidR="00AF3865" w:rsidRDefault="00AF3865">
                                          <w:pPr>
                                            <w:numPr>
                                              <w:ilvl w:val="1"/>
                                              <w:numId w:val="11"/>
                                            </w:numPr>
                                            <w:spacing w:after="100" w:afterAutospacing="1"/>
                                            <w:rPr>
                                              <w:rFonts w:ascii="Calibri" w:eastAsia="Times New Roman" w:hAnsi="Calibri" w:cs="Calibri"/>
                                              <w:sz w:val="23"/>
                                              <w:szCs w:val="23"/>
                                            </w:rPr>
                                          </w:pPr>
                                          <w:r>
                                            <w:rPr>
                                              <w:rFonts w:ascii="Calibri" w:eastAsia="Times New Roman" w:hAnsi="Calibri" w:cs="Calibri"/>
                                              <w:sz w:val="23"/>
                                              <w:szCs w:val="23"/>
                                            </w:rPr>
                                            <w:t xml:space="preserve">security of paper prescriptions  </w:t>
                                          </w:r>
                                        </w:p>
                                        <w:p w14:paraId="1E70BA6E" w14:textId="77777777" w:rsidR="00AF3865" w:rsidRDefault="00AF3865">
                                          <w:pPr>
                                            <w:numPr>
                                              <w:ilvl w:val="1"/>
                                              <w:numId w:val="11"/>
                                            </w:numPr>
                                            <w:spacing w:before="100" w:beforeAutospacing="1" w:after="100" w:afterAutospacing="1"/>
                                          </w:pPr>
                                          <w:r>
                                            <w:rPr>
                                              <w:rFonts w:ascii="Calibri" w:eastAsia="Times New Roman" w:hAnsi="Calibri" w:cs="Calibri"/>
                                              <w:sz w:val="23"/>
                                              <w:szCs w:val="23"/>
                                            </w:rPr>
                                            <w:t xml:space="preserve">definitions of roles and access permission  </w:t>
                                          </w:r>
                                        </w:p>
                                        <w:p w14:paraId="65ACE061" w14:textId="77777777" w:rsidR="00AF3865" w:rsidRDefault="00AF3865">
                                          <w:pPr>
                                            <w:numPr>
                                              <w:ilvl w:val="1"/>
                                              <w:numId w:val="11"/>
                                            </w:numPr>
                                            <w:spacing w:before="100" w:beforeAutospacing="1" w:after="100" w:afterAutospacing="1"/>
                                          </w:pPr>
                                          <w:r>
                                            <w:rPr>
                                              <w:rFonts w:ascii="Calibri" w:eastAsia="Times New Roman" w:hAnsi="Calibri" w:cs="Calibri"/>
                                              <w:sz w:val="23"/>
                                              <w:szCs w:val="23"/>
                                            </w:rPr>
                                            <w:t xml:space="preserve">how to escalate concerns  </w:t>
                                          </w:r>
                                        </w:p>
                                        <w:p w14:paraId="3428E1F3" w14:textId="77777777" w:rsidR="00AF3865" w:rsidRDefault="00AF3865">
                                          <w:pPr>
                                            <w:numPr>
                                              <w:ilvl w:val="1"/>
                                              <w:numId w:val="11"/>
                                            </w:numPr>
                                            <w:spacing w:before="100" w:beforeAutospacing="1" w:after="100" w:afterAutospacing="1"/>
                                          </w:pPr>
                                          <w:r>
                                            <w:rPr>
                                              <w:rFonts w:ascii="Calibri" w:eastAsia="Times New Roman" w:hAnsi="Calibri" w:cs="Calibri"/>
                                              <w:sz w:val="23"/>
                                              <w:szCs w:val="23"/>
                                            </w:rPr>
                                            <w:t xml:space="preserve">consider running regular audits e.g. of cancelled prescriptions; printed prescriptions and review audit trails  </w:t>
                                          </w:r>
                                        </w:p>
                                        <w:p w14:paraId="1F70F2A8" w14:textId="77777777" w:rsidR="00AF3865" w:rsidRDefault="00AF3865">
                                          <w:pPr>
                                            <w:numPr>
                                              <w:ilvl w:val="1"/>
                                              <w:numId w:val="11"/>
                                            </w:numPr>
                                            <w:spacing w:before="100" w:beforeAutospacing="1" w:after="225"/>
                                            <w:rPr>
                                              <w:rFonts w:ascii="Calibri" w:eastAsia="Times New Roman" w:hAnsi="Calibri" w:cs="Calibri"/>
                                              <w:sz w:val="23"/>
                                              <w:szCs w:val="23"/>
                                            </w:rPr>
                                          </w:pPr>
                                          <w:r>
                                            <w:rPr>
                                              <w:rFonts w:ascii="Calibri" w:eastAsia="Times New Roman" w:hAnsi="Calibri" w:cs="Calibri"/>
                                              <w:sz w:val="23"/>
                                              <w:szCs w:val="23"/>
                                            </w:rPr>
                                            <w:t>brief all staff on this fraud risk and encourage a whistleblowing culture </w:t>
                                          </w:r>
                                        </w:p>
                                        <w:p w14:paraId="4B19E688" w14:textId="77777777" w:rsidR="00AF3865" w:rsidRDefault="00AF3865">
                                          <w:pPr>
                                            <w:pStyle w:val="Heading3"/>
                                            <w:spacing w:before="0" w:after="255"/>
                                            <w:rPr>
                                              <w:rFonts w:ascii="Calibri" w:eastAsia="Times New Roman" w:hAnsi="Calibri" w:cs="Calibri"/>
                                              <w:sz w:val="38"/>
                                              <w:szCs w:val="38"/>
                                            </w:rPr>
                                          </w:pPr>
                                          <w:r>
                                            <w:rPr>
                                              <w:rStyle w:val="normaltextrun"/>
                                              <w:rFonts w:ascii="Calibri" w:eastAsia="Times New Roman" w:hAnsi="Calibri" w:cs="Calibri"/>
                                              <w:sz w:val="38"/>
                                              <w:szCs w:val="38"/>
                                            </w:rPr>
                                            <w:t xml:space="preserve">Correct quantities of </w:t>
                                          </w:r>
                                          <w:r>
                                            <w:rPr>
                                              <w:rStyle w:val="normaltextrun"/>
                                            </w:rPr>
                                            <w:t>tirzepatide (</w:t>
                                          </w:r>
                                          <w:proofErr w:type="spellStart"/>
                                          <w:r>
                                            <w:rPr>
                                              <w:rStyle w:val="normaltextrun"/>
                                            </w:rPr>
                                            <w:t>Mounjaro</w:t>
                                          </w:r>
                                          <w:proofErr w:type="spellEnd"/>
                                          <w:r>
                                            <w:rPr>
                                              <w:rStyle w:val="normaltextrun"/>
                                            </w:rPr>
                                            <w:t>®) and semaglutide (Ozempic®) pre-filled pens</w:t>
                                          </w:r>
                                          <w:r>
                                            <w:rPr>
                                              <w:rStyle w:val="eop"/>
                                              <w:rFonts w:ascii="Calibri" w:eastAsia="Times New Roman" w:hAnsi="Calibri" w:cs="Calibri"/>
                                              <w:sz w:val="38"/>
                                              <w:szCs w:val="38"/>
                                            </w:rPr>
                                            <w:t> </w:t>
                                          </w:r>
                                          <w:r>
                                            <w:rPr>
                                              <w:rFonts w:ascii="Calibri" w:eastAsia="Times New Roman" w:hAnsi="Calibri" w:cs="Calibri"/>
                                              <w:sz w:val="38"/>
                                              <w:szCs w:val="38"/>
                                            </w:rPr>
                                            <w:t xml:space="preserve"> </w:t>
                                          </w:r>
                                        </w:p>
                                        <w:p w14:paraId="3BADBE88"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 xml:space="preserve">A pre-filled pen of tirzepatide or semaglutide contains four doses; at a once weekly dose this equates to a four weeks' supply. A common prescribing error is to supply four pens </w:t>
                                          </w:r>
                                          <w:r>
                                            <w:rPr>
                                              <w:rFonts w:ascii="Calibri" w:hAnsi="Calibri" w:cs="Calibri"/>
                                              <w:sz w:val="23"/>
                                              <w:szCs w:val="23"/>
                                            </w:rPr>
                                            <w:lastRenderedPageBreak/>
                                            <w:t>which equates to 16 weeks' supply, which can lead to unnecessary waste—particularly when patients are in the process of dose titration.</w:t>
                                          </w:r>
                                        </w:p>
                                        <w:p w14:paraId="13733A0E"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As part of the Medicines Optimisation Team (MOT) safety work, practices may be contacted if excessive prescription quantities of glucagon-like peptide-1 receptor agonists (GLP-1 RAs) are identified. In such cases, a team member may request a review of the patient’s repeat medication and a reduction to appropriate quantities. This is to prevent unintended overprescribing.</w:t>
                                          </w:r>
                                        </w:p>
                                        <w:p w14:paraId="4686EBF9" w14:textId="77777777" w:rsidR="00AF3865" w:rsidRDefault="00AF3865">
                                          <w:pPr>
                                            <w:pStyle w:val="NormalWeb"/>
                                            <w:spacing w:before="0" w:beforeAutospacing="0" w:after="225" w:afterAutospacing="0"/>
                                          </w:pPr>
                                          <w:r>
                                            <w:rPr>
                                              <w:rStyle w:val="Strong"/>
                                              <w:rFonts w:ascii="Calibri" w:hAnsi="Calibri" w:cs="Calibri"/>
                                              <w:sz w:val="23"/>
                                              <w:szCs w:val="23"/>
                                            </w:rPr>
                                            <w:t>Actions for Practices:</w:t>
                                          </w:r>
                                          <w:r>
                                            <w:rPr>
                                              <w:rFonts w:ascii="Calibri" w:hAnsi="Calibri" w:cs="Calibri"/>
                                              <w:sz w:val="23"/>
                                              <w:szCs w:val="23"/>
                                            </w:rPr>
                                            <w:t> </w:t>
                                          </w:r>
                                        </w:p>
                                        <w:p w14:paraId="411794D6"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 xml:space="preserve">When prescribing tirzepatide and semaglutide pre-filled pens, note that one pen provides four weeks' supply.  </w:t>
                                          </w:r>
                                          <w:proofErr w:type="gramStart"/>
                                          <w:r>
                                            <w:rPr>
                                              <w:rFonts w:ascii="Calibri" w:hAnsi="Calibri" w:cs="Calibri"/>
                                              <w:sz w:val="23"/>
                                              <w:szCs w:val="23"/>
                                            </w:rPr>
                                            <w:t>28-56 day</w:t>
                                          </w:r>
                                          <w:proofErr w:type="gramEnd"/>
                                          <w:r>
                                            <w:rPr>
                                              <w:rFonts w:ascii="Calibri" w:hAnsi="Calibri" w:cs="Calibri"/>
                                              <w:sz w:val="23"/>
                                              <w:szCs w:val="23"/>
                                            </w:rPr>
                                            <w:t xml:space="preserve"> prescribing is recommended to minimise waste, reduce cost pressures, support stock management, and enhance patient safety.</w:t>
                                          </w:r>
                                        </w:p>
                                        <w:p w14:paraId="40B5A65E" w14:textId="77777777" w:rsidR="00AF3865" w:rsidRDefault="00AF3865">
                                          <w:pPr>
                                            <w:pStyle w:val="Heading3"/>
                                            <w:spacing w:before="0" w:after="255"/>
                                            <w:rPr>
                                              <w:rFonts w:ascii="Calibri" w:eastAsia="Times New Roman" w:hAnsi="Calibri" w:cs="Calibri"/>
                                              <w:sz w:val="38"/>
                                              <w:szCs w:val="38"/>
                                            </w:rPr>
                                          </w:pPr>
                                          <w:r>
                                            <w:rPr>
                                              <w:rStyle w:val="Strong"/>
                                              <w:rFonts w:ascii="Calibri" w:eastAsia="Times New Roman" w:hAnsi="Calibri" w:cs="Calibri"/>
                                              <w:b w:val="0"/>
                                              <w:bCs w:val="0"/>
                                              <w:sz w:val="38"/>
                                              <w:szCs w:val="38"/>
                                            </w:rPr>
                                            <w:t>Prescribing Risks with Morphine Sulphate Oral Solution 10mg/5ml</w:t>
                                          </w:r>
                                        </w:p>
                                        <w:p w14:paraId="13BC28B6"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 xml:space="preserve">A national </w:t>
                                          </w:r>
                                          <w:hyperlink r:id="rId16" w:tgtFrame="_blank" w:tooltip="patient safety investigation" w:history="1">
                                            <w:r>
                                              <w:rPr>
                                                <w:rStyle w:val="Hyperlink"/>
                                                <w:rFonts w:ascii="Calibri" w:hAnsi="Calibri" w:cs="Calibri"/>
                                                <w:color w:val="1D5782"/>
                                                <w:sz w:val="23"/>
                                                <w:szCs w:val="23"/>
                                              </w:rPr>
                                              <w:t xml:space="preserve">patient safety investigation </w:t>
                                            </w:r>
                                          </w:hyperlink>
                                          <w:r>
                                            <w:rPr>
                                              <w:rFonts w:ascii="Calibri" w:hAnsi="Calibri" w:cs="Calibri"/>
                                              <w:sz w:val="23"/>
                                              <w:szCs w:val="23"/>
                                            </w:rPr>
                                            <w:t xml:space="preserve">has recognised morphine sulphate oral solution 10mg/5mL as a </w:t>
                                          </w:r>
                                          <w:r>
                                            <w:rPr>
                                              <w:rStyle w:val="Strong"/>
                                              <w:rFonts w:ascii="Calibri" w:hAnsi="Calibri" w:cs="Calibri"/>
                                              <w:sz w:val="23"/>
                                              <w:szCs w:val="23"/>
                                            </w:rPr>
                                            <w:t xml:space="preserve">high-risk medication. </w:t>
                                          </w:r>
                                          <w:r>
                                            <w:rPr>
                                              <w:rFonts w:ascii="Calibri" w:hAnsi="Calibri" w:cs="Calibri"/>
                                              <w:sz w:val="23"/>
                                              <w:szCs w:val="23"/>
                                            </w:rPr>
                                            <w:t>Safety concerns include unintentional overdose, administration error, prescribing large quantities, dose escalation, opioid dependence, misuse and misappropriation (swigging from the bottle).</w:t>
                                          </w:r>
                                        </w:p>
                                        <w:p w14:paraId="34728950"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A 300 mL bottle of morphine sulphate oral solution 10mg/5mL (Oramorph®) contains:</w:t>
                                          </w:r>
                                        </w:p>
                                        <w:p w14:paraId="290A8892" w14:textId="77777777" w:rsidR="00AF3865" w:rsidRDefault="00AF3865">
                                          <w:pPr>
                                            <w:numPr>
                                              <w:ilvl w:val="0"/>
                                              <w:numId w:val="12"/>
                                            </w:numPr>
                                            <w:spacing w:after="100" w:afterAutospacing="1"/>
                                            <w:rPr>
                                              <w:rFonts w:ascii="Calibri" w:eastAsia="Times New Roman" w:hAnsi="Calibri" w:cs="Calibri"/>
                                              <w:sz w:val="23"/>
                                              <w:szCs w:val="23"/>
                                            </w:rPr>
                                          </w:pPr>
                                          <w:r>
                                            <w:rPr>
                                              <w:rFonts w:ascii="Calibri" w:eastAsia="Times New Roman" w:hAnsi="Calibri" w:cs="Calibri"/>
                                              <w:sz w:val="23"/>
                                              <w:szCs w:val="23"/>
                                            </w:rPr>
                                            <w:t xml:space="preserve">600 mg morphine equivalent to 60 × MST </w:t>
                                          </w:r>
                                          <w:proofErr w:type="spellStart"/>
                                          <w:r>
                                            <w:rPr>
                                              <w:rFonts w:ascii="Calibri" w:eastAsia="Times New Roman" w:hAnsi="Calibri" w:cs="Calibri"/>
                                              <w:sz w:val="23"/>
                                              <w:szCs w:val="23"/>
                                            </w:rPr>
                                            <w:t>Continus</w:t>
                                          </w:r>
                                          <w:proofErr w:type="spellEnd"/>
                                          <w:r>
                                            <w:rPr>
                                              <w:rFonts w:ascii="Calibri" w:eastAsia="Times New Roman" w:hAnsi="Calibri" w:cs="Calibri"/>
                                              <w:sz w:val="23"/>
                                              <w:szCs w:val="23"/>
                                            </w:rPr>
                                            <w:t>® 10mg tablets</w:t>
                                          </w:r>
                                        </w:p>
                                        <w:p w14:paraId="14261FF5" w14:textId="77777777" w:rsidR="00AF3865" w:rsidRDefault="00AF3865">
                                          <w:pPr>
                                            <w:numPr>
                                              <w:ilvl w:val="0"/>
                                              <w:numId w:val="12"/>
                                            </w:numPr>
                                            <w:spacing w:before="100" w:beforeAutospacing="1" w:after="100" w:afterAutospacing="1"/>
                                            <w:rPr>
                                              <w:rFonts w:ascii="Calibri" w:eastAsia="Times New Roman" w:hAnsi="Calibri" w:cs="Calibri"/>
                                              <w:sz w:val="23"/>
                                              <w:szCs w:val="23"/>
                                            </w:rPr>
                                          </w:pPr>
                                          <w:r>
                                            <w:rPr>
                                              <w:rFonts w:ascii="Calibri" w:eastAsia="Times New Roman" w:hAnsi="Calibri" w:cs="Calibri"/>
                                              <w:sz w:val="23"/>
                                              <w:szCs w:val="23"/>
                                            </w:rPr>
                                            <w:t>approximately 24 g ethanol (alcohol) (~3 UK alcohol units)</w:t>
                                          </w:r>
                                        </w:p>
                                        <w:p w14:paraId="15A4C875" w14:textId="77777777" w:rsidR="00AF3865" w:rsidRDefault="00AF3865">
                                          <w:pPr>
                                            <w:numPr>
                                              <w:ilvl w:val="0"/>
                                              <w:numId w:val="12"/>
                                            </w:numPr>
                                            <w:spacing w:before="100" w:beforeAutospacing="1" w:after="225"/>
                                            <w:rPr>
                                              <w:rFonts w:ascii="Calibri" w:eastAsia="Times New Roman" w:hAnsi="Calibri" w:cs="Calibri"/>
                                              <w:sz w:val="23"/>
                                              <w:szCs w:val="23"/>
                                            </w:rPr>
                                          </w:pPr>
                                          <w:r>
                                            <w:rPr>
                                              <w:rFonts w:ascii="Calibri" w:eastAsia="Times New Roman" w:hAnsi="Calibri" w:cs="Calibri"/>
                                              <w:sz w:val="23"/>
                                              <w:szCs w:val="23"/>
                                            </w:rPr>
                                            <w:t>approximately 90 g sucrose, plus additional glucose from corn syrup.</w:t>
                                          </w:r>
                                        </w:p>
                                        <w:p w14:paraId="6DAAEACC"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 xml:space="preserve">Practices can access the </w:t>
                                          </w:r>
                                          <w:hyperlink r:id="rId17" w:history="1">
                                            <w:proofErr w:type="spellStart"/>
                                            <w:r>
                                              <w:rPr>
                                                <w:rStyle w:val="Strong"/>
                                                <w:rFonts w:ascii="Calibri" w:hAnsi="Calibri" w:cs="Calibri"/>
                                                <w:color w:val="1D5782"/>
                                                <w:sz w:val="23"/>
                                                <w:szCs w:val="23"/>
                                                <w:u w:val="single"/>
                                              </w:rPr>
                                              <w:t>OpenPrescribing</w:t>
                                            </w:r>
                                            <w:proofErr w:type="spellEnd"/>
                                          </w:hyperlink>
                                          <w:r>
                                            <w:rPr>
                                              <w:rFonts w:ascii="Calibri" w:hAnsi="Calibri" w:cs="Calibri"/>
                                              <w:sz w:val="23"/>
                                              <w:szCs w:val="23"/>
                                            </w:rPr>
                                            <w:t xml:space="preserve"> dashboard and view the prescribing measure for morphine sulphate oral solution 10mg/5mL in quantities greater than 300mL, at sub-ICB, PCN or practice level.</w:t>
                                          </w:r>
                                        </w:p>
                                        <w:p w14:paraId="50FE7A16" w14:textId="77777777" w:rsidR="00AF3865" w:rsidRDefault="00AF3865">
                                          <w:pPr>
                                            <w:pStyle w:val="NormalWeb"/>
                                            <w:spacing w:before="0" w:beforeAutospacing="0" w:after="225" w:afterAutospacing="0"/>
                                            <w:rPr>
                                              <w:rFonts w:ascii="Calibri" w:hAnsi="Calibri" w:cs="Calibri"/>
                                              <w:sz w:val="23"/>
                                              <w:szCs w:val="23"/>
                                            </w:rPr>
                                          </w:pPr>
                                          <w:hyperlink r:id="rId18" w:history="1">
                                            <w:r>
                                              <w:rPr>
                                                <w:rStyle w:val="Hyperlink"/>
                                                <w:rFonts w:ascii="Calibri" w:hAnsi="Calibri" w:cs="Calibri"/>
                                                <w:color w:val="1D5782"/>
                                                <w:sz w:val="23"/>
                                                <w:szCs w:val="23"/>
                                              </w:rPr>
                                              <w:t>Buckinghamshire</w:t>
                                            </w:r>
                                          </w:hyperlink>
                                          <w:r>
                                            <w:rPr>
                                              <w:rFonts w:ascii="Calibri" w:hAnsi="Calibri" w:cs="Calibri"/>
                                              <w:sz w:val="23"/>
                                              <w:szCs w:val="23"/>
                                            </w:rPr>
                                            <w:t xml:space="preserve">, </w:t>
                                          </w:r>
                                          <w:hyperlink r:id="rId19" w:history="1">
                                            <w:r>
                                              <w:rPr>
                                                <w:rStyle w:val="Hyperlink"/>
                                                <w:rFonts w:ascii="Calibri" w:hAnsi="Calibri" w:cs="Calibri"/>
                                                <w:color w:val="1D5782"/>
                                                <w:sz w:val="23"/>
                                                <w:szCs w:val="23"/>
                                              </w:rPr>
                                              <w:t>Berkshire West</w:t>
                                            </w:r>
                                          </w:hyperlink>
                                          <w:r>
                                            <w:rPr>
                                              <w:rFonts w:ascii="Calibri" w:hAnsi="Calibri" w:cs="Calibri"/>
                                              <w:sz w:val="23"/>
                                              <w:szCs w:val="23"/>
                                            </w:rPr>
                                            <w:t xml:space="preserve">, </w:t>
                                          </w:r>
                                          <w:hyperlink r:id="rId20" w:history="1">
                                            <w:r>
                                              <w:rPr>
                                                <w:rStyle w:val="Hyperlink"/>
                                                <w:rFonts w:ascii="Calibri" w:hAnsi="Calibri" w:cs="Calibri"/>
                                                <w:color w:val="1D5782"/>
                                                <w:sz w:val="23"/>
                                                <w:szCs w:val="23"/>
                                              </w:rPr>
                                              <w:t>Oxford</w:t>
                                            </w:r>
                                          </w:hyperlink>
                                          <w:r>
                                            <w:rPr>
                                              <w:rFonts w:ascii="Calibri" w:hAnsi="Calibri" w:cs="Calibri"/>
                                              <w:sz w:val="23"/>
                                              <w:szCs w:val="23"/>
                                            </w:rPr>
                                            <w:t xml:space="preserve">, </w:t>
                                          </w:r>
                                          <w:hyperlink r:id="rId21" w:history="1">
                                            <w:r>
                                              <w:rPr>
                                                <w:rStyle w:val="Hyperlink"/>
                                                <w:rFonts w:ascii="Calibri" w:hAnsi="Calibri" w:cs="Calibri"/>
                                                <w:color w:val="1D5782"/>
                                                <w:sz w:val="23"/>
                                                <w:szCs w:val="23"/>
                                              </w:rPr>
                                              <w:t>East Berkshire</w:t>
                                            </w:r>
                                          </w:hyperlink>
                                          <w:r>
                                            <w:rPr>
                                              <w:rFonts w:ascii="Calibri" w:hAnsi="Calibri" w:cs="Calibri"/>
                                              <w:sz w:val="23"/>
                                              <w:szCs w:val="23"/>
                                            </w:rPr>
                                            <w:t xml:space="preserve"> (listed as NHS Thames Valley ICB U2G6B)</w:t>
                                          </w:r>
                                        </w:p>
                                        <w:p w14:paraId="4D9E8013" w14:textId="78A199D2" w:rsidR="00AF3865" w:rsidRDefault="00AF3865">
                                          <w:pPr>
                                            <w:rPr>
                                              <w:rFonts w:eastAsia="Times New Roman"/>
                                            </w:rPr>
                                          </w:pPr>
                                          <w:r>
                                            <w:rPr>
                                              <w:rFonts w:eastAsia="Times New Roman"/>
                                              <w:noProof/>
                                            </w:rPr>
                                            <w:drawing>
                                              <wp:inline distT="0" distB="0" distL="0" distR="0" wp14:anchorId="6A3670BA" wp14:editId="073ADF9F">
                                                <wp:extent cx="5425440" cy="1333500"/>
                                                <wp:effectExtent l="0" t="0" r="3810" b="0"/>
                                                <wp:docPr id="1847022284" name="Picture 11" descr="Total proportion of morphine sulphate oral solution with a quantity over 30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tal proportion of morphine sulphate oral solution with a quantity over 300ml"/>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425440" cy="1333500"/>
                                                        </a:xfrm>
                                                        <a:prstGeom prst="rect">
                                                          <a:avLst/>
                                                        </a:prstGeom>
                                                        <a:noFill/>
                                                        <a:ln>
                                                          <a:noFill/>
                                                        </a:ln>
                                                      </pic:spPr>
                                                    </pic:pic>
                                                  </a:graphicData>
                                                </a:graphic>
                                              </wp:inline>
                                            </w:drawing>
                                          </w:r>
                                        </w:p>
                                        <w:p w14:paraId="54A429D3" w14:textId="77777777" w:rsidR="00AF3865" w:rsidRDefault="00AF3865">
                                          <w:pPr>
                                            <w:pStyle w:val="NormalWeb"/>
                                            <w:spacing w:before="240" w:beforeAutospacing="0" w:after="225" w:afterAutospacing="0"/>
                                          </w:pPr>
                                          <w:hyperlink r:id="rId24" w:tgtFrame="_blank" w:tooltip="https://openprescribing.net/measure/morphine_solution_high_quantity/sicbl/u2g6b/" w:history="1">
                                            <w:r>
                                              <w:rPr>
                                                <w:rStyle w:val="Hyperlink"/>
                                                <w:rFonts w:ascii="Calibri" w:hAnsi="Calibri" w:cs="Calibri"/>
                                                <w:color w:val="1D5782"/>
                                                <w:sz w:val="23"/>
                                                <w:szCs w:val="23"/>
                                              </w:rPr>
                                              <w:t>Prescribing of morphine sulphate oral solution in quantities over 300ml</w:t>
                                            </w:r>
                                          </w:hyperlink>
                                        </w:p>
                                        <w:p w14:paraId="38E56416"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 xml:space="preserve">All sub-ICB locations are above the national average for this measure; therefore, practices are encouraged to review patients prescribed more than 300 </w:t>
                                          </w:r>
                                          <w:proofErr w:type="spellStart"/>
                                          <w:r>
                                            <w:rPr>
                                              <w:rFonts w:ascii="Calibri" w:hAnsi="Calibri" w:cs="Calibri"/>
                                              <w:sz w:val="23"/>
                                              <w:szCs w:val="23"/>
                                            </w:rPr>
                                            <w:t>mL.</w:t>
                                          </w:r>
                                          <w:proofErr w:type="spellEnd"/>
                                        </w:p>
                                        <w:p w14:paraId="533D7110"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A search is available in EMIS Enterprise which excludes palliative patients.</w:t>
                                          </w:r>
                                        </w:p>
                                        <w:p w14:paraId="7727612E" w14:textId="77777777" w:rsidR="00AF3865" w:rsidRDefault="00AF3865">
                                          <w:pPr>
                                            <w:pStyle w:val="NormalWeb"/>
                                            <w:spacing w:before="0" w:beforeAutospacing="0" w:after="225" w:afterAutospacing="0"/>
                                            <w:rPr>
                                              <w:rFonts w:ascii="Calibri" w:hAnsi="Calibri" w:cs="Calibri"/>
                                              <w:sz w:val="23"/>
                                              <w:szCs w:val="23"/>
                                            </w:rPr>
                                          </w:pPr>
                                          <w:r>
                                            <w:rPr>
                                              <w:rStyle w:val="Strong"/>
                                              <w:rFonts w:ascii="Calibri" w:hAnsi="Calibri" w:cs="Calibri"/>
                                              <w:sz w:val="23"/>
                                              <w:szCs w:val="23"/>
                                            </w:rPr>
                                            <w:t>East Berkshire practices:</w:t>
                                          </w:r>
                                        </w:p>
                                        <w:p w14:paraId="3CC810E8"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East Berkshire CCG Reporting-&gt; MOT -&gt; Medicines Safety -&gt; Opioids- &gt;Morphine Sulphate</w:t>
                                          </w:r>
                                        </w:p>
                                        <w:p w14:paraId="623D5D09" w14:textId="77777777" w:rsidR="00AF3865" w:rsidRDefault="00AF3865">
                                          <w:pPr>
                                            <w:pStyle w:val="NormalWeb"/>
                                            <w:spacing w:before="0" w:beforeAutospacing="0" w:after="225" w:afterAutospacing="0"/>
                                            <w:rPr>
                                              <w:rFonts w:ascii="Calibri" w:hAnsi="Calibri" w:cs="Calibri"/>
                                              <w:sz w:val="23"/>
                                              <w:szCs w:val="23"/>
                                            </w:rPr>
                                          </w:pPr>
                                          <w:r>
                                            <w:rPr>
                                              <w:rStyle w:val="Strong"/>
                                              <w:rFonts w:ascii="Calibri" w:hAnsi="Calibri" w:cs="Calibri"/>
                                              <w:sz w:val="23"/>
                                              <w:szCs w:val="23"/>
                                            </w:rPr>
                                            <w:t>Buckinghamshire practices:</w:t>
                                          </w:r>
                                        </w:p>
                                        <w:p w14:paraId="67270A6B"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 xml:space="preserve">BUCKS sub-ICB Search &amp; Reports -&gt; ICB - Medicines Management -&gt; Morphine </w:t>
                                          </w:r>
                                          <w:proofErr w:type="spellStart"/>
                                          <w:r>
                                            <w:rPr>
                                              <w:rFonts w:ascii="Calibri" w:hAnsi="Calibri" w:cs="Calibri"/>
                                              <w:sz w:val="23"/>
                                              <w:szCs w:val="23"/>
                                            </w:rPr>
                                            <w:t>Sulfate</w:t>
                                          </w:r>
                                          <w:proofErr w:type="spellEnd"/>
                                        </w:p>
                                        <w:p w14:paraId="5FC79724" w14:textId="77777777" w:rsidR="00AF3865" w:rsidRDefault="00AF3865">
                                          <w:pPr>
                                            <w:pStyle w:val="NormalWeb"/>
                                            <w:spacing w:before="0" w:beforeAutospacing="0" w:after="225" w:afterAutospacing="0"/>
                                            <w:rPr>
                                              <w:rFonts w:ascii="Calibri" w:hAnsi="Calibri" w:cs="Calibri"/>
                                              <w:sz w:val="23"/>
                                              <w:szCs w:val="23"/>
                                            </w:rPr>
                                          </w:pPr>
                                          <w:r>
                                            <w:rPr>
                                              <w:rStyle w:val="Strong"/>
                                              <w:rFonts w:ascii="Calibri" w:hAnsi="Calibri" w:cs="Calibri"/>
                                              <w:sz w:val="23"/>
                                              <w:szCs w:val="23"/>
                                            </w:rPr>
                                            <w:t>Oxfordshire practices:</w:t>
                                          </w:r>
                                        </w:p>
                                        <w:p w14:paraId="06FE2BFB"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 xml:space="preserve">BOB ICB Meds Searches - to be run by PRACTICE ONLY -&gt; Morphine </w:t>
                                          </w:r>
                                          <w:proofErr w:type="spellStart"/>
                                          <w:r>
                                            <w:rPr>
                                              <w:rFonts w:ascii="Calibri" w:hAnsi="Calibri" w:cs="Calibri"/>
                                              <w:sz w:val="23"/>
                                              <w:szCs w:val="23"/>
                                            </w:rPr>
                                            <w:t>Sulfate</w:t>
                                          </w:r>
                                          <w:proofErr w:type="spellEnd"/>
                                        </w:p>
                                        <w:p w14:paraId="5FE9DEE0" w14:textId="77777777" w:rsidR="00AF3865" w:rsidRDefault="00AF3865">
                                          <w:pPr>
                                            <w:pStyle w:val="NormalWeb"/>
                                            <w:spacing w:before="0" w:beforeAutospacing="0" w:after="225" w:afterAutospacing="0"/>
                                            <w:rPr>
                                              <w:rFonts w:ascii="Calibri" w:hAnsi="Calibri" w:cs="Calibri"/>
                                              <w:sz w:val="23"/>
                                              <w:szCs w:val="23"/>
                                            </w:rPr>
                                          </w:pPr>
                                          <w:r>
                                            <w:rPr>
                                              <w:rStyle w:val="Strong"/>
                                              <w:rFonts w:ascii="Calibri" w:hAnsi="Calibri" w:cs="Calibri"/>
                                              <w:sz w:val="23"/>
                                              <w:szCs w:val="23"/>
                                            </w:rPr>
                                            <w:t>Berkshire West practices:</w:t>
                                          </w:r>
                                        </w:p>
                                        <w:p w14:paraId="2A181509"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 xml:space="preserve">MOT -&gt; Patient Safety Searches -&gt; Morphine </w:t>
                                          </w:r>
                                          <w:proofErr w:type="spellStart"/>
                                          <w:r>
                                            <w:rPr>
                                              <w:rFonts w:ascii="Calibri" w:hAnsi="Calibri" w:cs="Calibri"/>
                                              <w:sz w:val="23"/>
                                              <w:szCs w:val="23"/>
                                            </w:rPr>
                                            <w:t>Sulfate</w:t>
                                          </w:r>
                                          <w:proofErr w:type="spellEnd"/>
                                        </w:p>
                                        <w:p w14:paraId="78EBD60E" w14:textId="77777777" w:rsidR="00AF3865" w:rsidRDefault="00AF3865">
                                          <w:pPr>
                                            <w:pStyle w:val="NormalWeb"/>
                                            <w:spacing w:before="0" w:beforeAutospacing="0" w:after="225" w:afterAutospacing="0"/>
                                          </w:pPr>
                                          <w:r>
                                            <w:rPr>
                                              <w:rStyle w:val="Strong"/>
                                              <w:rFonts w:ascii="Calibri" w:hAnsi="Calibri" w:cs="Calibri"/>
                                              <w:sz w:val="23"/>
                                              <w:szCs w:val="23"/>
                                            </w:rPr>
                                            <w:t>Actions for Practices: </w:t>
                                          </w:r>
                                          <w:r>
                                            <w:rPr>
                                              <w:rFonts w:ascii="Calibri" w:hAnsi="Calibri" w:cs="Calibri"/>
                                              <w:sz w:val="23"/>
                                              <w:szCs w:val="23"/>
                                            </w:rPr>
                                            <w:t> </w:t>
                                          </w:r>
                                        </w:p>
                                        <w:p w14:paraId="0A7FC47C" w14:textId="77777777" w:rsidR="00AF3865" w:rsidRDefault="00AF3865">
                                          <w:pPr>
                                            <w:pStyle w:val="NormalWeb"/>
                                            <w:spacing w:before="0" w:beforeAutospacing="0" w:after="225" w:afterAutospacing="0"/>
                                          </w:pPr>
                                          <w:r>
                                            <w:rPr>
                                              <w:rFonts w:ascii="Calibri" w:hAnsi="Calibri" w:cs="Calibri"/>
                                              <w:sz w:val="23"/>
                                              <w:szCs w:val="23"/>
                                            </w:rPr>
                                            <w:t>Identify patients prescribed Morphine Sulphate oral solution 10mg/5mL in larger quantities (e.g. &gt;300 mL).</w:t>
                                          </w:r>
                                          <w:r>
                                            <w:t> </w:t>
                                          </w:r>
                                        </w:p>
                                        <w:p w14:paraId="62A18403" w14:textId="77777777" w:rsidR="00AF3865" w:rsidRDefault="00AF3865">
                                          <w:pPr>
                                            <w:numPr>
                                              <w:ilvl w:val="0"/>
                                              <w:numId w:val="13"/>
                                            </w:numPr>
                                            <w:spacing w:after="225"/>
                                          </w:pPr>
                                          <w:r>
                                            <w:rPr>
                                              <w:rFonts w:ascii="Calibri" w:eastAsia="Times New Roman" w:hAnsi="Calibri" w:cs="Calibri"/>
                                              <w:sz w:val="23"/>
                                              <w:szCs w:val="23"/>
                                            </w:rPr>
                                            <w:t>Review: current dose, quantity, frequency of issue, duration of treatment, any evidence of overuse/ dose escalation, adverse effects or dependence.  </w:t>
                                          </w:r>
                                          <w:r>
                                            <w:t xml:space="preserve">  </w:t>
                                          </w:r>
                                        </w:p>
                                        <w:p w14:paraId="6952656B" w14:textId="77777777" w:rsidR="00AF3865" w:rsidRDefault="00AF3865">
                                          <w:pPr>
                                            <w:numPr>
                                              <w:ilvl w:val="0"/>
                                              <w:numId w:val="14"/>
                                            </w:numPr>
                                            <w:spacing w:after="225"/>
                                          </w:pPr>
                                          <w:r>
                                            <w:rPr>
                                              <w:rFonts w:ascii="Calibri" w:eastAsia="Times New Roman" w:hAnsi="Calibri" w:cs="Calibri"/>
                                              <w:sz w:val="23"/>
                                              <w:szCs w:val="23"/>
                                            </w:rPr>
                                            <w:t>Consider an alternative formulation e.g. immediate release, tapering or other pain management approaches.</w:t>
                                          </w:r>
                                          <w:r>
                                            <w:t xml:space="preserve">  </w:t>
                                          </w:r>
                                        </w:p>
                                        <w:p w14:paraId="19099D27" w14:textId="77777777" w:rsidR="00AF3865" w:rsidRDefault="00AF3865">
                                          <w:pPr>
                                            <w:numPr>
                                              <w:ilvl w:val="0"/>
                                              <w:numId w:val="15"/>
                                            </w:numPr>
                                            <w:spacing w:after="225"/>
                                          </w:pPr>
                                          <w:r>
                                            <w:rPr>
                                              <w:rFonts w:ascii="Calibri" w:eastAsia="Times New Roman" w:hAnsi="Calibri" w:cs="Calibri"/>
                                              <w:sz w:val="23"/>
                                              <w:szCs w:val="23"/>
                                            </w:rPr>
                                            <w:t>Reinforce patient counselling on: </w:t>
                                          </w:r>
                                          <w:r>
                                            <w:t xml:space="preserve"> </w:t>
                                          </w:r>
                                        </w:p>
                                        <w:p w14:paraId="20DEAE7F" w14:textId="77777777" w:rsidR="00AF3865" w:rsidRDefault="00AF3865">
                                          <w:pPr>
                                            <w:numPr>
                                              <w:ilvl w:val="1"/>
                                              <w:numId w:val="15"/>
                                            </w:numPr>
                                            <w:spacing w:after="100" w:afterAutospacing="1"/>
                                          </w:pPr>
                                          <w:r>
                                            <w:rPr>
                                              <w:rFonts w:ascii="Calibri" w:eastAsia="Times New Roman" w:hAnsi="Calibri" w:cs="Calibri"/>
                                              <w:sz w:val="23"/>
                                              <w:szCs w:val="23"/>
                                            </w:rPr>
                                            <w:t xml:space="preserve">exact dosing in </w:t>
                                          </w:r>
                                          <w:r>
                                            <w:rPr>
                                              <w:rStyle w:val="Strong"/>
                                            </w:rPr>
                                            <w:t>mg and mL</w:t>
                                          </w:r>
                                          <w:r>
                                            <w:t>, using an </w:t>
                                          </w:r>
                                          <w:r>
                                            <w:rPr>
                                              <w:rStyle w:val="Strong"/>
                                            </w:rPr>
                                            <w:t>oral syringe or suitable measure</w:t>
                                          </w:r>
                                          <w:r>
                                            <w:t xml:space="preserve">  </w:t>
                                          </w:r>
                                        </w:p>
                                        <w:p w14:paraId="19D90300" w14:textId="77777777" w:rsidR="00AF3865" w:rsidRDefault="00AF3865">
                                          <w:pPr>
                                            <w:numPr>
                                              <w:ilvl w:val="1"/>
                                              <w:numId w:val="15"/>
                                            </w:numPr>
                                            <w:spacing w:before="100" w:beforeAutospacing="1" w:after="100" w:afterAutospacing="1"/>
                                          </w:pPr>
                                          <w:r>
                                            <w:rPr>
                                              <w:rFonts w:ascii="Calibri" w:eastAsia="Times New Roman" w:hAnsi="Calibri" w:cs="Calibri"/>
                                              <w:sz w:val="23"/>
                                              <w:szCs w:val="23"/>
                                            </w:rPr>
                                            <w:t>not drinking (“swigging”) directly from the bottle </w:t>
                                          </w:r>
                                          <w:r>
                                            <w:t> </w:t>
                                          </w:r>
                                        </w:p>
                                        <w:p w14:paraId="3554C7B4" w14:textId="77777777" w:rsidR="00AF3865" w:rsidRDefault="00AF3865">
                                          <w:pPr>
                                            <w:numPr>
                                              <w:ilvl w:val="1"/>
                                              <w:numId w:val="15"/>
                                            </w:numPr>
                                            <w:spacing w:before="100" w:beforeAutospacing="1" w:after="225"/>
                                            <w:rPr>
                                              <w:rFonts w:ascii="Calibri" w:eastAsia="Times New Roman" w:hAnsi="Calibri" w:cs="Calibri"/>
                                              <w:sz w:val="23"/>
                                              <w:szCs w:val="23"/>
                                            </w:rPr>
                                          </w:pPr>
                                          <w:r>
                                            <w:rPr>
                                              <w:rFonts w:ascii="Calibri" w:eastAsia="Times New Roman" w:hAnsi="Calibri" w:cs="Calibri"/>
                                              <w:sz w:val="23"/>
                                              <w:szCs w:val="23"/>
                                            </w:rPr>
                                            <w:t>safe storage away from children and others.</w:t>
                                          </w:r>
                                        </w:p>
                                        <w:tbl>
                                          <w:tblPr>
                                            <w:tblW w:w="5000" w:type="pct"/>
                                            <w:jc w:val="center"/>
                                            <w:tblCellMar>
                                              <w:left w:w="0" w:type="dxa"/>
                                              <w:right w:w="0" w:type="dxa"/>
                                            </w:tblCellMar>
                                            <w:tblLook w:val="04A0" w:firstRow="1" w:lastRow="0" w:firstColumn="1" w:lastColumn="0" w:noHBand="0" w:noVBand="1"/>
                                          </w:tblPr>
                                          <w:tblGrid>
                                            <w:gridCol w:w="8565"/>
                                          </w:tblGrid>
                                          <w:tr w:rsidR="00AF3865" w14:paraId="51BC4AB5" w14:textId="77777777">
                                            <w:trPr>
                                              <w:trHeight w:val="150"/>
                                              <w:jc w:val="center"/>
                                            </w:trPr>
                                            <w:tc>
                                              <w:tcPr>
                                                <w:tcW w:w="5000" w:type="pct"/>
                                                <w:vAlign w:val="center"/>
                                                <w:hideMark/>
                                              </w:tcPr>
                                              <w:p w14:paraId="107E20C8" w14:textId="3CA09657" w:rsidR="00AF3865" w:rsidRDefault="00AF3865">
                                                <w:pPr>
                                                  <w:rPr>
                                                    <w:rFonts w:eastAsia="Times New Roman"/>
                                                  </w:rPr>
                                                </w:pPr>
                                                <w:r>
                                                  <w:rPr>
                                                    <w:rFonts w:eastAsia="Times New Roman"/>
                                                    <w:noProof/>
                                                  </w:rPr>
                                                  <w:drawing>
                                                    <wp:inline distT="0" distB="0" distL="0" distR="0" wp14:anchorId="458F75FF" wp14:editId="0E21AAC2">
                                                      <wp:extent cx="5731510" cy="98425"/>
                                                      <wp:effectExtent l="0" t="0" r="2540" b="15875"/>
                                                      <wp:docPr id="93007007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3F8AE87B" w14:textId="77777777" w:rsidR="00AF3865" w:rsidRDefault="00AF3865">
                                          <w:pPr>
                                            <w:pStyle w:val="Heading1"/>
                                            <w:spacing w:before="161" w:after="300"/>
                                            <w:jc w:val="center"/>
                                            <w:rPr>
                                              <w:rFonts w:ascii="Calibri" w:eastAsia="Times New Roman" w:hAnsi="Calibri" w:cs="Calibri"/>
                                              <w:color w:val="003087"/>
                                              <w:sz w:val="53"/>
                                              <w:szCs w:val="53"/>
                                            </w:rPr>
                                          </w:pPr>
                                          <w:bookmarkStart w:id="1" w:name="link_2"/>
                                          <w:r>
                                            <w:rPr>
                                              <w:rFonts w:ascii="Calibri" w:eastAsia="Times New Roman" w:hAnsi="Calibri" w:cs="Calibri"/>
                                              <w:color w:val="003087"/>
                                              <w:sz w:val="53"/>
                                              <w:szCs w:val="53"/>
                                              <w:bdr w:val="none" w:sz="0" w:space="0" w:color="auto" w:frame="1"/>
                                            </w:rPr>
                                            <w:t>Thames Valley System Updates</w:t>
                                          </w:r>
                                          <w:bookmarkEnd w:id="1"/>
                                        </w:p>
                                        <w:tbl>
                                          <w:tblPr>
                                            <w:tblW w:w="5000" w:type="pct"/>
                                            <w:jc w:val="center"/>
                                            <w:tblCellMar>
                                              <w:left w:w="0" w:type="dxa"/>
                                              <w:right w:w="0" w:type="dxa"/>
                                            </w:tblCellMar>
                                            <w:tblLook w:val="04A0" w:firstRow="1" w:lastRow="0" w:firstColumn="1" w:lastColumn="0" w:noHBand="0" w:noVBand="1"/>
                                          </w:tblPr>
                                          <w:tblGrid>
                                            <w:gridCol w:w="8565"/>
                                          </w:tblGrid>
                                          <w:tr w:rsidR="00AF3865" w14:paraId="23B1546A" w14:textId="77777777">
                                            <w:trPr>
                                              <w:trHeight w:val="150"/>
                                              <w:jc w:val="center"/>
                                            </w:trPr>
                                            <w:tc>
                                              <w:tcPr>
                                                <w:tcW w:w="5000" w:type="pct"/>
                                                <w:vAlign w:val="center"/>
                                                <w:hideMark/>
                                              </w:tcPr>
                                              <w:p w14:paraId="4F0591A5" w14:textId="69D7FDF6" w:rsidR="00AF3865" w:rsidRDefault="00AF3865">
                                                <w:pPr>
                                                  <w:rPr>
                                                    <w:rFonts w:eastAsia="Times New Roman"/>
                                                  </w:rPr>
                                                </w:pPr>
                                                <w:r>
                                                  <w:rPr>
                                                    <w:rFonts w:eastAsia="Times New Roman"/>
                                                    <w:noProof/>
                                                  </w:rPr>
                                                  <w:drawing>
                                                    <wp:inline distT="0" distB="0" distL="0" distR="0" wp14:anchorId="2BAE9D17" wp14:editId="5E7FD9EB">
                                                      <wp:extent cx="5731510" cy="98425"/>
                                                      <wp:effectExtent l="0" t="0" r="2540" b="15875"/>
                                                      <wp:docPr id="16072281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65002871" w14:textId="77777777" w:rsidR="00AF3865" w:rsidRDefault="00AF3865">
                                          <w:pPr>
                                            <w:pStyle w:val="Heading2"/>
                                            <w:spacing w:before="199" w:after="270"/>
                                            <w:rPr>
                                              <w:rFonts w:ascii="Calibri" w:eastAsia="Times New Roman" w:hAnsi="Calibri" w:cs="Calibri"/>
                                              <w:color w:val="003087"/>
                                              <w:sz w:val="45"/>
                                              <w:szCs w:val="45"/>
                                            </w:rPr>
                                          </w:pPr>
                                          <w:r>
                                            <w:rPr>
                                              <w:rStyle w:val="Strong"/>
                                              <w:rFonts w:ascii="Calibri" w:eastAsia="Times New Roman" w:hAnsi="Calibri" w:cs="Calibri"/>
                                              <w:b w:val="0"/>
                                              <w:bCs w:val="0"/>
                                              <w:color w:val="003087"/>
                                              <w:sz w:val="45"/>
                                              <w:szCs w:val="45"/>
                                            </w:rPr>
                                            <w:lastRenderedPageBreak/>
                                            <w:t xml:space="preserve">Formulary </w:t>
                                          </w:r>
                                          <w:proofErr w:type="gramStart"/>
                                          <w:r>
                                            <w:rPr>
                                              <w:rStyle w:val="Strong"/>
                                              <w:rFonts w:ascii="Calibri" w:eastAsia="Times New Roman" w:hAnsi="Calibri" w:cs="Calibri"/>
                                              <w:b w:val="0"/>
                                              <w:bCs w:val="0"/>
                                              <w:color w:val="003087"/>
                                              <w:sz w:val="45"/>
                                              <w:szCs w:val="45"/>
                                            </w:rPr>
                                            <w:t>Updates  &amp;</w:t>
                                          </w:r>
                                          <w:proofErr w:type="gramEnd"/>
                                          <w:r>
                                            <w:rPr>
                                              <w:rStyle w:val="Strong"/>
                                              <w:rFonts w:ascii="Calibri" w:eastAsia="Times New Roman" w:hAnsi="Calibri" w:cs="Calibri"/>
                                              <w:b w:val="0"/>
                                              <w:bCs w:val="0"/>
                                              <w:color w:val="003087"/>
                                              <w:sz w:val="45"/>
                                              <w:szCs w:val="45"/>
                                            </w:rPr>
                                            <w:t xml:space="preserve"> Guidelines  </w:t>
                                          </w:r>
                                        </w:p>
                                        <w:p w14:paraId="521C7142" w14:textId="77777777" w:rsidR="00AF3865" w:rsidRDefault="00AF3865">
                                          <w:pPr>
                                            <w:pStyle w:val="Heading3"/>
                                            <w:spacing w:before="0" w:after="255"/>
                                            <w:rPr>
                                              <w:rFonts w:ascii="Calibri" w:eastAsia="Times New Roman" w:hAnsi="Calibri" w:cs="Calibri"/>
                                              <w:color w:val="auto"/>
                                              <w:sz w:val="38"/>
                                              <w:szCs w:val="38"/>
                                            </w:rPr>
                                          </w:pPr>
                                          <w:proofErr w:type="spellStart"/>
                                          <w:r>
                                            <w:rPr>
                                              <w:rStyle w:val="normaltextrun"/>
                                              <w:rFonts w:ascii="Calibri" w:eastAsia="Times New Roman" w:hAnsi="Calibri" w:cs="Calibri"/>
                                              <w:sz w:val="38"/>
                                              <w:szCs w:val="38"/>
                                            </w:rPr>
                                            <w:t>Estradot</w:t>
                                          </w:r>
                                          <w:proofErr w:type="spellEnd"/>
                                          <w:r>
                                            <w:rPr>
                                              <w:rStyle w:val="normaltextrun"/>
                                              <w:rFonts w:ascii="Calibri" w:eastAsia="Times New Roman" w:hAnsi="Calibri" w:cs="Calibri"/>
                                              <w:sz w:val="38"/>
                                              <w:szCs w:val="38"/>
                                            </w:rPr>
                                            <w:t>® Conti</w:t>
                                          </w:r>
                                          <w:r>
                                            <w:rPr>
                                              <w:rStyle w:val="eop"/>
                                              <w:rFonts w:ascii="Calibri" w:eastAsia="Times New Roman" w:hAnsi="Calibri" w:cs="Calibri"/>
                                              <w:sz w:val="38"/>
                                              <w:szCs w:val="38"/>
                                            </w:rPr>
                                            <w:t> </w:t>
                                          </w:r>
                                          <w:r>
                                            <w:rPr>
                                              <w:rFonts w:ascii="Calibri" w:eastAsia="Times New Roman" w:hAnsi="Calibri" w:cs="Calibri"/>
                                              <w:sz w:val="38"/>
                                              <w:szCs w:val="38"/>
                                            </w:rPr>
                                            <w:t xml:space="preserve"> </w:t>
                                          </w:r>
                                        </w:p>
                                        <w:p w14:paraId="2831D4A2" w14:textId="77777777" w:rsidR="00AF3865" w:rsidRDefault="00AF3865">
                                          <w:pPr>
                                            <w:pStyle w:val="NormalWeb"/>
                                            <w:spacing w:before="0" w:beforeAutospacing="0" w:after="225" w:afterAutospacing="0"/>
                                          </w:pPr>
                                          <w:proofErr w:type="spellStart"/>
                                          <w:r>
                                            <w:rPr>
                                              <w:rFonts w:ascii="Calibri" w:hAnsi="Calibri" w:cs="Calibri"/>
                                              <w:sz w:val="23"/>
                                              <w:szCs w:val="23"/>
                                            </w:rPr>
                                            <w:t>Estradot</w:t>
                                          </w:r>
                                          <w:proofErr w:type="spellEnd"/>
                                          <w:r>
                                            <w:rPr>
                                              <w:rFonts w:ascii="Calibri" w:hAnsi="Calibri" w:cs="Calibri"/>
                                              <w:sz w:val="23"/>
                                              <w:szCs w:val="23"/>
                                            </w:rPr>
                                            <w:t>® Conti transdermal patches were approved by BOB Area Prescribing Committee (APC) and Frimley Medicines Board in March 2026 as </w:t>
                                          </w:r>
                                          <w:r>
                                            <w:rPr>
                                              <w:rStyle w:val="Strong"/>
                                              <w:rFonts w:ascii="Calibri" w:hAnsi="Calibri" w:cs="Calibri"/>
                                            </w:rPr>
                                            <w:t>GREEN</w:t>
                                          </w:r>
                                          <w:r>
                                            <w:t>. </w:t>
                                          </w:r>
                                        </w:p>
                                        <w:p w14:paraId="1AB714A9" w14:textId="77777777" w:rsidR="00AF3865" w:rsidRDefault="00AF3865">
                                          <w:pPr>
                                            <w:pStyle w:val="NormalWeb"/>
                                            <w:spacing w:before="0" w:beforeAutospacing="0" w:after="225" w:afterAutospacing="0"/>
                                          </w:pPr>
                                          <w:proofErr w:type="spellStart"/>
                                          <w:r>
                                            <w:rPr>
                                              <w:rFonts w:ascii="Calibri" w:hAnsi="Calibri" w:cs="Calibri"/>
                                              <w:sz w:val="23"/>
                                              <w:szCs w:val="23"/>
                                            </w:rPr>
                                            <w:t>Estradot</w:t>
                                          </w:r>
                                          <w:proofErr w:type="spellEnd"/>
                                          <w:r>
                                            <w:rPr>
                                              <w:rFonts w:ascii="Calibri" w:hAnsi="Calibri" w:cs="Calibri"/>
                                              <w:sz w:val="23"/>
                                              <w:szCs w:val="23"/>
                                            </w:rPr>
                                            <w:t xml:space="preserve">® Conti is a transdermal hormone replacement patch, delivering both </w:t>
                                          </w:r>
                                          <w:proofErr w:type="spellStart"/>
                                          <w:r>
                                            <w:rPr>
                                              <w:rFonts w:ascii="Calibri" w:hAnsi="Calibri" w:cs="Calibri"/>
                                              <w:sz w:val="23"/>
                                              <w:szCs w:val="23"/>
                                            </w:rPr>
                                            <w:t>estradiol</w:t>
                                          </w:r>
                                          <w:proofErr w:type="spellEnd"/>
                                          <w:r>
                                            <w:rPr>
                                              <w:rFonts w:ascii="Calibri" w:hAnsi="Calibri" w:cs="Calibri"/>
                                              <w:sz w:val="23"/>
                                              <w:szCs w:val="23"/>
                                            </w:rPr>
                                            <w:t xml:space="preserve"> and norethisterone in a continuous combined regime. The patches are indicated for </w:t>
                                          </w:r>
                                          <w:proofErr w:type="spellStart"/>
                                          <w:r>
                                            <w:rPr>
                                              <w:rFonts w:ascii="Calibri" w:hAnsi="Calibri" w:cs="Calibri"/>
                                              <w:sz w:val="23"/>
                                              <w:szCs w:val="23"/>
                                            </w:rPr>
                                            <w:t>estrogen</w:t>
                                          </w:r>
                                          <w:proofErr w:type="spellEnd"/>
                                          <w:r>
                                            <w:rPr>
                                              <w:rFonts w:ascii="Calibri" w:hAnsi="Calibri" w:cs="Calibri"/>
                                              <w:sz w:val="23"/>
                                              <w:szCs w:val="23"/>
                                            </w:rPr>
                                            <w:t xml:space="preserve"> deficiency symptoms in postmenopausal women including women whose last menstrual period was at least 12 months ago. The patches come in two different strengths:</w:t>
                                          </w:r>
                                          <w:r>
                                            <w:t> </w:t>
                                          </w:r>
                                        </w:p>
                                        <w:p w14:paraId="7CA047A5" w14:textId="77777777" w:rsidR="00AF3865" w:rsidRDefault="00AF3865">
                                          <w:pPr>
                                            <w:numPr>
                                              <w:ilvl w:val="0"/>
                                              <w:numId w:val="16"/>
                                            </w:numPr>
                                            <w:spacing w:after="225"/>
                                          </w:pPr>
                                          <w:proofErr w:type="spellStart"/>
                                          <w:r>
                                            <w:rPr>
                                              <w:rStyle w:val="Strong"/>
                                              <w:rFonts w:ascii="Calibri" w:eastAsia="Times New Roman" w:hAnsi="Calibri" w:cs="Calibri"/>
                                              <w:sz w:val="23"/>
                                              <w:szCs w:val="23"/>
                                            </w:rPr>
                                            <w:t>Estradot</w:t>
                                          </w:r>
                                          <w:proofErr w:type="spellEnd"/>
                                          <w:r>
                                            <w:rPr>
                                              <w:rStyle w:val="Strong"/>
                                              <w:rFonts w:ascii="Calibri" w:eastAsia="Times New Roman" w:hAnsi="Calibri" w:cs="Calibri"/>
                                              <w:sz w:val="23"/>
                                              <w:szCs w:val="23"/>
                                            </w:rPr>
                                            <w:t xml:space="preserve"> Conti 30/95 transdermal </w:t>
                                          </w:r>
                                          <w:proofErr w:type="gramStart"/>
                                          <w:r>
                                            <w:rPr>
                                              <w:rStyle w:val="Strong"/>
                                              <w:rFonts w:ascii="Calibri" w:eastAsia="Times New Roman" w:hAnsi="Calibri" w:cs="Calibri"/>
                                              <w:sz w:val="23"/>
                                              <w:szCs w:val="23"/>
                                            </w:rPr>
                                            <w:t xml:space="preserve">patches  </w:t>
                                          </w:r>
                                          <w:r>
                                            <w:rPr>
                                              <w:rFonts w:ascii="Calibri" w:eastAsia="Times New Roman" w:hAnsi="Calibri" w:cs="Calibri"/>
                                              <w:sz w:val="23"/>
                                              <w:szCs w:val="23"/>
                                            </w:rPr>
                                            <w:t>(</w:t>
                                          </w:r>
                                          <w:proofErr w:type="gramEnd"/>
                                          <w:r>
                                            <w:rPr>
                                              <w:rFonts w:ascii="Calibri" w:eastAsia="Times New Roman" w:hAnsi="Calibri" w:cs="Calibri"/>
                                              <w:sz w:val="23"/>
                                              <w:szCs w:val="23"/>
                                            </w:rPr>
                                            <w:t>r</w:t>
                                          </w:r>
                                          <w:r>
                                            <w:t xml:space="preserve">eleasing 30 micrograms </w:t>
                                          </w:r>
                                          <w:proofErr w:type="spellStart"/>
                                          <w:r>
                                            <w:t>estradiol</w:t>
                                          </w:r>
                                          <w:proofErr w:type="spellEnd"/>
                                          <w:r>
                                            <w:t xml:space="preserve"> and 95micrograms norethisterone acetate per 24 hours)   </w:t>
                                          </w:r>
                                        </w:p>
                                        <w:p w14:paraId="2BE9843F" w14:textId="77777777" w:rsidR="00AF3865" w:rsidRDefault="00AF3865">
                                          <w:pPr>
                                            <w:numPr>
                                              <w:ilvl w:val="0"/>
                                              <w:numId w:val="17"/>
                                            </w:numPr>
                                            <w:spacing w:after="225"/>
                                          </w:pPr>
                                          <w:r>
                                            <w:rPr>
                                              <w:rFonts w:ascii="Calibri" w:eastAsia="Times New Roman" w:hAnsi="Calibri" w:cs="Calibri"/>
                                              <w:sz w:val="23"/>
                                              <w:szCs w:val="23"/>
                                            </w:rPr>
                                            <w:t> </w:t>
                                          </w:r>
                                          <w:proofErr w:type="spellStart"/>
                                          <w:r>
                                            <w:rPr>
                                              <w:rStyle w:val="Strong"/>
                                              <w:rFonts w:ascii="Calibri" w:hAnsi="Calibri" w:cs="Calibri"/>
                                            </w:rPr>
                                            <w:t>Estradot</w:t>
                                          </w:r>
                                          <w:proofErr w:type="spellEnd"/>
                                          <w:r>
                                            <w:rPr>
                                              <w:rStyle w:val="Strong"/>
                                              <w:rFonts w:ascii="Calibri" w:hAnsi="Calibri" w:cs="Calibri"/>
                                            </w:rPr>
                                            <w:t> Conti 40/130 transdermal patches</w:t>
                                          </w:r>
                                          <w:r>
                                            <w:t xml:space="preserve"> (releasing 40 micrograms </w:t>
                                          </w:r>
                                          <w:proofErr w:type="spellStart"/>
                                          <w:r>
                                            <w:t>estradiol</w:t>
                                          </w:r>
                                          <w:proofErr w:type="spellEnd"/>
                                          <w:r>
                                            <w:t xml:space="preserve"> and 130 micrograms norethisterone acetate per 24 hours)</w:t>
                                          </w:r>
                                        </w:p>
                                        <w:p w14:paraId="38832FBE" w14:textId="77777777" w:rsidR="00AF3865" w:rsidRDefault="00AF3865">
                                          <w:pPr>
                                            <w:pStyle w:val="NormalWeb"/>
                                            <w:spacing w:before="0" w:beforeAutospacing="0" w:after="225" w:afterAutospacing="0"/>
                                          </w:pPr>
                                          <w:proofErr w:type="spellStart"/>
                                          <w:r>
                                            <w:rPr>
                                              <w:rFonts w:ascii="Calibri" w:hAnsi="Calibri" w:cs="Calibri"/>
                                              <w:sz w:val="23"/>
                                              <w:szCs w:val="23"/>
                                            </w:rPr>
                                            <w:t>Estradot</w:t>
                                          </w:r>
                                          <w:proofErr w:type="spellEnd"/>
                                          <w:r>
                                            <w:rPr>
                                              <w:rFonts w:ascii="Calibri" w:hAnsi="Calibri" w:cs="Calibri"/>
                                              <w:sz w:val="23"/>
                                              <w:szCs w:val="23"/>
                                            </w:rPr>
                                            <w:t>® Conti has the advantage of delivering a lower dose of </w:t>
                                          </w:r>
                                          <w:proofErr w:type="spellStart"/>
                                          <w:r>
                                            <w:rPr>
                                              <w:rFonts w:ascii="Calibri" w:hAnsi="Calibri" w:cs="Calibri"/>
                                              <w:sz w:val="23"/>
                                              <w:szCs w:val="23"/>
                                            </w:rPr>
                                            <w:t>estrogen</w:t>
                                          </w:r>
                                          <w:proofErr w:type="spellEnd"/>
                                          <w:r>
                                            <w:rPr>
                                              <w:rFonts w:ascii="Calibri" w:hAnsi="Calibri" w:cs="Calibri"/>
                                              <w:sz w:val="23"/>
                                              <w:szCs w:val="23"/>
                                            </w:rPr>
                                            <w:t>, which is particularly beneficial for women who have experienced </w:t>
                                          </w:r>
                                          <w:proofErr w:type="spellStart"/>
                                          <w:r>
                                            <w:rPr>
                                              <w:rFonts w:ascii="Calibri" w:hAnsi="Calibri" w:cs="Calibri"/>
                                              <w:sz w:val="23"/>
                                              <w:szCs w:val="23"/>
                                            </w:rPr>
                                            <w:t>estrogen</w:t>
                                          </w:r>
                                          <w:proofErr w:type="spellEnd"/>
                                          <w:r>
                                            <w:rPr>
                                              <w:rFonts w:ascii="Calibri" w:hAnsi="Calibri" w:cs="Calibri"/>
                                              <w:sz w:val="23"/>
                                              <w:szCs w:val="23"/>
                                            </w:rPr>
                                            <w:t> driven side effects such as breast tenderness, bleeding issues, nausea, and headaches, as well as for those for whom </w:t>
                                          </w:r>
                                          <w:proofErr w:type="spellStart"/>
                                          <w:r>
                                            <w:rPr>
                                              <w:rFonts w:ascii="Calibri" w:hAnsi="Calibri" w:cs="Calibri"/>
                                              <w:sz w:val="23"/>
                                              <w:szCs w:val="23"/>
                                            </w:rPr>
                                            <w:t>estrogen</w:t>
                                          </w:r>
                                          <w:proofErr w:type="spellEnd"/>
                                          <w:r>
                                            <w:rPr>
                                              <w:rFonts w:ascii="Calibri" w:hAnsi="Calibri" w:cs="Calibri"/>
                                              <w:sz w:val="23"/>
                                              <w:szCs w:val="23"/>
                                            </w:rPr>
                                            <w:t> is not recommended (e.g. VTE risk factors, high BMI, &gt; 60 years). The product is an addition to the existing formulary alternatives </w:t>
                                          </w:r>
                                          <w:proofErr w:type="spellStart"/>
                                          <w:r>
                                            <w:rPr>
                                              <w:rFonts w:ascii="Calibri" w:hAnsi="Calibri" w:cs="Calibri"/>
                                              <w:sz w:val="23"/>
                                              <w:szCs w:val="23"/>
                                            </w:rPr>
                                            <w:t>Evorel</w:t>
                                          </w:r>
                                          <w:proofErr w:type="spellEnd"/>
                                          <w:r>
                                            <w:rPr>
                                              <w:rFonts w:ascii="Calibri" w:hAnsi="Calibri" w:cs="Calibri"/>
                                              <w:sz w:val="23"/>
                                              <w:szCs w:val="23"/>
                                            </w:rPr>
                                            <w:t>® Conti and </w:t>
                                          </w:r>
                                          <w:proofErr w:type="spellStart"/>
                                          <w:r>
                                            <w:rPr>
                                              <w:rFonts w:ascii="Calibri" w:hAnsi="Calibri" w:cs="Calibri"/>
                                              <w:sz w:val="23"/>
                                              <w:szCs w:val="23"/>
                                            </w:rPr>
                                            <w:t>FemSeven</w:t>
                                          </w:r>
                                          <w:proofErr w:type="spellEnd"/>
                                          <w:r>
                                            <w:rPr>
                                              <w:rFonts w:ascii="Calibri" w:hAnsi="Calibri" w:cs="Calibri"/>
                                              <w:sz w:val="23"/>
                                              <w:szCs w:val="23"/>
                                            </w:rPr>
                                            <w:t>® Conti patches, both of which deliver 50 micrograms </w:t>
                                          </w:r>
                                          <w:proofErr w:type="spellStart"/>
                                          <w:r>
                                            <w:rPr>
                                              <w:rFonts w:ascii="Calibri" w:hAnsi="Calibri" w:cs="Calibri"/>
                                              <w:sz w:val="23"/>
                                              <w:szCs w:val="23"/>
                                            </w:rPr>
                                            <w:t>estrogen</w:t>
                                          </w:r>
                                          <w:proofErr w:type="spellEnd"/>
                                          <w:r>
                                            <w:rPr>
                                              <w:rFonts w:ascii="Calibri" w:hAnsi="Calibri" w:cs="Calibri"/>
                                              <w:sz w:val="23"/>
                                              <w:szCs w:val="23"/>
                                            </w:rPr>
                                            <w:t>.</w:t>
                                          </w:r>
                                          <w:r>
                                            <w:t> </w:t>
                                          </w:r>
                                        </w:p>
                                        <w:p w14:paraId="1BCB511C" w14:textId="77777777" w:rsidR="00AF3865" w:rsidRDefault="00AF3865">
                                          <w:pPr>
                                            <w:pStyle w:val="NormalWeb"/>
                                            <w:spacing w:before="0" w:beforeAutospacing="0" w:after="225" w:afterAutospacing="0"/>
                                          </w:pPr>
                                          <w:r>
                                            <w:rPr>
                                              <w:rFonts w:ascii="Calibri" w:hAnsi="Calibri" w:cs="Calibri"/>
                                              <w:sz w:val="23"/>
                                              <w:szCs w:val="23"/>
                                            </w:rPr>
                                            <w:t>Further details can be found in the </w:t>
                                          </w:r>
                                          <w:hyperlink r:id="rId25" w:tgtFrame="_blank" w:history="1">
                                            <w:r>
                                              <w:rPr>
                                                <w:rStyle w:val="Hyperlink"/>
                                                <w:color w:val="1D5782"/>
                                              </w:rPr>
                                              <w:t>HRT formulary and treatment guidance</w:t>
                                            </w:r>
                                          </w:hyperlink>
                                        </w:p>
                                        <w:p w14:paraId="61F364C7" w14:textId="77777777" w:rsidR="00AF3865" w:rsidRDefault="00AF3865">
                                          <w:pPr>
                                            <w:pStyle w:val="NormalWeb"/>
                                            <w:spacing w:before="0" w:beforeAutospacing="0" w:after="225" w:afterAutospacing="0"/>
                                            <w:rPr>
                                              <w:rFonts w:ascii="Calibri" w:hAnsi="Calibri" w:cs="Calibri"/>
                                              <w:sz w:val="23"/>
                                              <w:szCs w:val="23"/>
                                            </w:rPr>
                                          </w:pPr>
                                          <w:r>
                                            <w:rPr>
                                              <w:rStyle w:val="Strong"/>
                                              <w:rFonts w:ascii="Calibri" w:hAnsi="Calibri" w:cs="Calibri"/>
                                              <w:sz w:val="23"/>
                                              <w:szCs w:val="23"/>
                                            </w:rPr>
                                            <w:t>Action for Practices:</w:t>
                                          </w:r>
                                        </w:p>
                                        <w:p w14:paraId="516E1CAE" w14:textId="77777777" w:rsidR="00AF3865" w:rsidRDefault="00AF3865">
                                          <w:pPr>
                                            <w:pStyle w:val="NormalWeb"/>
                                            <w:spacing w:before="0" w:beforeAutospacing="0" w:after="225" w:afterAutospacing="0"/>
                                          </w:pPr>
                                          <w:r>
                                            <w:rPr>
                                              <w:rFonts w:ascii="Calibri" w:hAnsi="Calibri" w:cs="Calibri"/>
                                              <w:sz w:val="23"/>
                                              <w:szCs w:val="23"/>
                                            </w:rPr>
                                            <w:t>Please be aware of the HRT formulary updates.</w:t>
                                          </w:r>
                                        </w:p>
                                        <w:p w14:paraId="084F18C1" w14:textId="77777777" w:rsidR="00AF3865" w:rsidRDefault="00AF3865">
                                          <w:pPr>
                                            <w:pStyle w:val="Heading3"/>
                                            <w:spacing w:before="0" w:after="255"/>
                                            <w:rPr>
                                              <w:rFonts w:ascii="Calibri" w:eastAsia="Times New Roman" w:hAnsi="Calibri" w:cs="Calibri"/>
                                              <w:sz w:val="38"/>
                                              <w:szCs w:val="38"/>
                                            </w:rPr>
                                          </w:pPr>
                                          <w:proofErr w:type="spellStart"/>
                                          <w:r>
                                            <w:rPr>
                                              <w:rStyle w:val="normaltextrun"/>
                                              <w:rFonts w:ascii="Calibri" w:eastAsia="Times New Roman" w:hAnsi="Calibri" w:cs="Calibri"/>
                                              <w:sz w:val="38"/>
                                              <w:szCs w:val="38"/>
                                            </w:rPr>
                                            <w:t>Dydrogesterone</w:t>
                                          </w:r>
                                          <w:proofErr w:type="spellEnd"/>
                                          <w:r>
                                            <w:rPr>
                                              <w:rStyle w:val="normaltextrun"/>
                                              <w:rFonts w:ascii="Calibri" w:eastAsia="Times New Roman" w:hAnsi="Calibri" w:cs="Calibri"/>
                                              <w:sz w:val="38"/>
                                              <w:szCs w:val="38"/>
                                            </w:rPr>
                                            <w:t> 10mg tablets (</w:t>
                                          </w:r>
                                          <w:proofErr w:type="spellStart"/>
                                          <w:r>
                                            <w:rPr>
                                              <w:rStyle w:val="normaltextrun"/>
                                              <w:rFonts w:ascii="Calibri" w:eastAsia="Times New Roman" w:hAnsi="Calibri" w:cs="Calibri"/>
                                              <w:sz w:val="38"/>
                                              <w:szCs w:val="38"/>
                                            </w:rPr>
                                            <w:t>Nalvee</w:t>
                                          </w:r>
                                          <w:proofErr w:type="spellEnd"/>
                                          <w:r>
                                            <w:rPr>
                                              <w:rStyle w:val="normaltextrun"/>
                                              <w:rFonts w:ascii="Calibri" w:eastAsia="Times New Roman" w:hAnsi="Calibri" w:cs="Calibri"/>
                                              <w:sz w:val="38"/>
                                              <w:szCs w:val="38"/>
                                            </w:rPr>
                                            <w:t>®)</w:t>
                                          </w:r>
                                          <w:r>
                                            <w:rPr>
                                              <w:rStyle w:val="eop"/>
                                              <w:rFonts w:ascii="Calibri" w:eastAsia="Times New Roman" w:hAnsi="Calibri" w:cs="Calibri"/>
                                              <w:sz w:val="38"/>
                                              <w:szCs w:val="38"/>
                                            </w:rPr>
                                            <w:t> </w:t>
                                          </w:r>
                                          <w:r>
                                            <w:rPr>
                                              <w:rFonts w:ascii="Calibri" w:eastAsia="Times New Roman" w:hAnsi="Calibri" w:cs="Calibri"/>
                                              <w:sz w:val="38"/>
                                              <w:szCs w:val="38"/>
                                            </w:rPr>
                                            <w:t xml:space="preserve"> </w:t>
                                          </w:r>
                                        </w:p>
                                        <w:p w14:paraId="5D7559E9" w14:textId="77777777" w:rsidR="00AF3865" w:rsidRDefault="00AF3865">
                                          <w:pPr>
                                            <w:pStyle w:val="NormalWeb"/>
                                            <w:spacing w:before="0" w:beforeAutospacing="0" w:after="225" w:afterAutospacing="0"/>
                                          </w:pPr>
                                          <w:proofErr w:type="spellStart"/>
                                          <w:r>
                                            <w:rPr>
                                              <w:rFonts w:ascii="Calibri" w:hAnsi="Calibri" w:cs="Calibri"/>
                                              <w:sz w:val="23"/>
                                              <w:szCs w:val="23"/>
                                            </w:rPr>
                                            <w:t>Dydrogesterone</w:t>
                                          </w:r>
                                          <w:proofErr w:type="spellEnd"/>
                                          <w:r>
                                            <w:rPr>
                                              <w:rFonts w:ascii="Calibri" w:hAnsi="Calibri" w:cs="Calibri"/>
                                              <w:sz w:val="23"/>
                                              <w:szCs w:val="23"/>
                                            </w:rPr>
                                            <w:t> 10mg tablets (</w:t>
                                          </w:r>
                                          <w:proofErr w:type="spellStart"/>
                                          <w:r>
                                            <w:rPr>
                                              <w:rFonts w:ascii="Calibri" w:hAnsi="Calibri" w:cs="Calibri"/>
                                              <w:sz w:val="23"/>
                                              <w:szCs w:val="23"/>
                                            </w:rPr>
                                            <w:t>Nalvee</w:t>
                                          </w:r>
                                          <w:proofErr w:type="spellEnd"/>
                                          <w:r>
                                            <w:rPr>
                                              <w:rFonts w:ascii="Calibri" w:hAnsi="Calibri" w:cs="Calibri"/>
                                              <w:sz w:val="23"/>
                                              <w:szCs w:val="23"/>
                                            </w:rPr>
                                            <w:t>®) were approved by BOB Area Prescribing Committee (APC) and Frimley Medicines Board in March 2026 and were assigned a dual formulary status of GREEN </w:t>
                                          </w:r>
                                          <w:proofErr w:type="gramStart"/>
                                          <w:r>
                                            <w:rPr>
                                              <w:rFonts w:ascii="Calibri" w:hAnsi="Calibri" w:cs="Calibri"/>
                                              <w:sz w:val="23"/>
                                              <w:szCs w:val="23"/>
                                            </w:rPr>
                                            <w:t>/  AMBER</w:t>
                                          </w:r>
                                          <w:proofErr w:type="gramEnd"/>
                                          <w:r>
                                            <w:rPr>
                                              <w:rFonts w:ascii="Calibri" w:hAnsi="Calibri" w:cs="Calibri"/>
                                              <w:sz w:val="23"/>
                                              <w:szCs w:val="23"/>
                                            </w:rPr>
                                            <w:t> INITIATION depending on the regime (see table below).</w:t>
                                          </w:r>
                                          <w:r>
                                            <w:t> </w:t>
                                          </w:r>
                                        </w:p>
                                        <w:p w14:paraId="7A072984" w14:textId="77777777" w:rsidR="00AF3865" w:rsidRDefault="00AF3865">
                                          <w:pPr>
                                            <w:pStyle w:val="NormalWeb"/>
                                            <w:spacing w:before="0" w:beforeAutospacing="0" w:after="225" w:afterAutospacing="0"/>
                                          </w:pPr>
                                          <w:proofErr w:type="spellStart"/>
                                          <w:r>
                                            <w:rPr>
                                              <w:rFonts w:ascii="Calibri" w:hAnsi="Calibri" w:cs="Calibri"/>
                                              <w:sz w:val="23"/>
                                              <w:szCs w:val="23"/>
                                            </w:rPr>
                                            <w:t>Dydrogesterone</w:t>
                                          </w:r>
                                          <w:proofErr w:type="spellEnd"/>
                                          <w:r>
                                            <w:rPr>
                                              <w:rFonts w:ascii="Calibri" w:hAnsi="Calibri" w:cs="Calibri"/>
                                              <w:sz w:val="23"/>
                                              <w:szCs w:val="23"/>
                                            </w:rPr>
                                            <w:t> is indicated to supplement </w:t>
                                          </w:r>
                                          <w:proofErr w:type="spellStart"/>
                                          <w:r>
                                            <w:rPr>
                                              <w:rFonts w:ascii="Calibri" w:hAnsi="Calibri" w:cs="Calibri"/>
                                              <w:sz w:val="23"/>
                                              <w:szCs w:val="23"/>
                                            </w:rPr>
                                            <w:t>estrogen</w:t>
                                          </w:r>
                                          <w:proofErr w:type="spellEnd"/>
                                          <w:r>
                                            <w:rPr>
                                              <w:rFonts w:ascii="Calibri" w:hAnsi="Calibri" w:cs="Calibri"/>
                                              <w:sz w:val="23"/>
                                              <w:szCs w:val="23"/>
                                            </w:rPr>
                                            <w:t> treatment, by counteracting the influence of </w:t>
                                          </w:r>
                                          <w:proofErr w:type="spellStart"/>
                                          <w:r>
                                            <w:rPr>
                                              <w:rFonts w:ascii="Calibri" w:hAnsi="Calibri" w:cs="Calibri"/>
                                              <w:sz w:val="23"/>
                                              <w:szCs w:val="23"/>
                                            </w:rPr>
                                            <w:t>estrogen</w:t>
                                          </w:r>
                                          <w:proofErr w:type="spellEnd"/>
                                          <w:r>
                                            <w:rPr>
                                              <w:rFonts w:ascii="Calibri" w:hAnsi="Calibri" w:cs="Calibri"/>
                                              <w:sz w:val="23"/>
                                              <w:szCs w:val="23"/>
                                            </w:rPr>
                                            <w:t> on the endometrium, in non-hysterectomised women with symptoms due to natural onset or surgically induced menopause. </w:t>
                                          </w:r>
                                          <w:proofErr w:type="spellStart"/>
                                          <w:r>
                                            <w:rPr>
                                              <w:rFonts w:ascii="Calibri" w:hAnsi="Calibri" w:cs="Calibri"/>
                                              <w:sz w:val="23"/>
                                              <w:szCs w:val="23"/>
                                            </w:rPr>
                                            <w:t>Dydrogesterone</w:t>
                                          </w:r>
                                          <w:proofErr w:type="spellEnd"/>
                                          <w:r>
                                            <w:rPr>
                                              <w:rFonts w:ascii="Calibri" w:hAnsi="Calibri" w:cs="Calibri"/>
                                              <w:sz w:val="23"/>
                                              <w:szCs w:val="23"/>
                                            </w:rPr>
                                            <w:t> can be used in both peri and postmenopausal women (see below).</w:t>
                                          </w:r>
                                          <w:r>
                                            <w:t> </w:t>
                                          </w:r>
                                        </w:p>
                                        <w:p w14:paraId="7FD0A00A" w14:textId="4B089E53" w:rsidR="00AF3865" w:rsidRDefault="00AF3865">
                                          <w:pPr>
                                            <w:rPr>
                                              <w:rFonts w:eastAsia="Times New Roman"/>
                                            </w:rPr>
                                          </w:pPr>
                                          <w:r>
                                            <w:rPr>
                                              <w:rFonts w:eastAsia="Times New Roman"/>
                                              <w:noProof/>
                                            </w:rPr>
                                            <w:lastRenderedPageBreak/>
                                            <w:drawing>
                                              <wp:inline distT="0" distB="0" distL="0" distR="0" wp14:anchorId="64CD52F2" wp14:editId="2F28CB36">
                                                <wp:extent cx="5425440" cy="1775460"/>
                                                <wp:effectExtent l="0" t="0" r="3810" b="15240"/>
                                                <wp:docPr id="219612124" name="Picture 8" descr="dydrogesterone patient regi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ydrogesterone patient regimens"/>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425440" cy="1775460"/>
                                                        </a:xfrm>
                                                        <a:prstGeom prst="rect">
                                                          <a:avLst/>
                                                        </a:prstGeom>
                                                        <a:noFill/>
                                                        <a:ln>
                                                          <a:noFill/>
                                                        </a:ln>
                                                      </pic:spPr>
                                                    </pic:pic>
                                                  </a:graphicData>
                                                </a:graphic>
                                              </wp:inline>
                                            </w:drawing>
                                          </w:r>
                                        </w:p>
                                        <w:p w14:paraId="01989FD7" w14:textId="77777777" w:rsidR="00AF3865" w:rsidRDefault="00AF3865">
                                          <w:pPr>
                                            <w:pStyle w:val="NormalWeb"/>
                                            <w:spacing w:before="0" w:beforeAutospacing="0" w:after="225" w:afterAutospacing="0"/>
                                            <w:rPr>
                                              <w:rFonts w:ascii="Calibri" w:hAnsi="Calibri" w:cs="Calibri"/>
                                              <w:sz w:val="23"/>
                                              <w:szCs w:val="23"/>
                                            </w:rPr>
                                          </w:pPr>
                                          <w:proofErr w:type="spellStart"/>
                                          <w:r>
                                            <w:rPr>
                                              <w:rFonts w:ascii="Calibri" w:hAnsi="Calibri" w:cs="Calibri"/>
                                              <w:sz w:val="23"/>
                                              <w:szCs w:val="23"/>
                                            </w:rPr>
                                            <w:t>Dydrogesterone</w:t>
                                          </w:r>
                                          <w:proofErr w:type="spellEnd"/>
                                          <w:r>
                                            <w:rPr>
                                              <w:rFonts w:ascii="Calibri" w:hAnsi="Calibri" w:cs="Calibri"/>
                                              <w:sz w:val="23"/>
                                              <w:szCs w:val="23"/>
                                            </w:rPr>
                                            <w:t> should be restricted for use, due to considerations of cost, to patients with progestogen sensitivity who have been unable to tolerate micronized progesterone. </w:t>
                                          </w:r>
                                        </w:p>
                                        <w:p w14:paraId="5738A67D" w14:textId="77777777" w:rsidR="00AF3865" w:rsidRDefault="00AF3865">
                                          <w:pPr>
                                            <w:pStyle w:val="NormalWeb"/>
                                            <w:spacing w:before="0" w:beforeAutospacing="0" w:after="225" w:afterAutospacing="0"/>
                                          </w:pPr>
                                          <w:r>
                                            <w:rPr>
                                              <w:rFonts w:ascii="Calibri" w:hAnsi="Calibri" w:cs="Calibri"/>
                                              <w:sz w:val="23"/>
                                              <w:szCs w:val="23"/>
                                            </w:rPr>
                                            <w:t> </w:t>
                                          </w:r>
                                          <w:r>
                                            <w:t>Further details can be found in the </w:t>
                                          </w:r>
                                          <w:hyperlink r:id="rId28" w:tgtFrame="_blank" w:history="1">
                                            <w:r>
                                              <w:rPr>
                                                <w:rStyle w:val="Hyperlink"/>
                                                <w:color w:val="1D5782"/>
                                              </w:rPr>
                                              <w:t>HRT formulary and treatment guidance</w:t>
                                            </w:r>
                                          </w:hyperlink>
                                          <w:r>
                                            <w:t> </w:t>
                                          </w:r>
                                        </w:p>
                                        <w:p w14:paraId="3357E9C5" w14:textId="77777777" w:rsidR="00AF3865" w:rsidRDefault="00AF3865">
                                          <w:pPr>
                                            <w:pStyle w:val="NormalWeb"/>
                                            <w:spacing w:before="0" w:beforeAutospacing="0" w:after="225" w:afterAutospacing="0"/>
                                            <w:rPr>
                                              <w:rFonts w:ascii="Calibri" w:hAnsi="Calibri" w:cs="Calibri"/>
                                              <w:sz w:val="23"/>
                                              <w:szCs w:val="23"/>
                                            </w:rPr>
                                          </w:pPr>
                                          <w:r>
                                            <w:rPr>
                                              <w:rStyle w:val="Strong"/>
                                              <w:rFonts w:ascii="Calibri" w:hAnsi="Calibri" w:cs="Calibri"/>
                                              <w:sz w:val="23"/>
                                              <w:szCs w:val="23"/>
                                            </w:rPr>
                                            <w:t>Action for Practices:</w:t>
                                          </w:r>
                                        </w:p>
                                        <w:p w14:paraId="4EB00022" w14:textId="77777777" w:rsidR="00AF3865" w:rsidRDefault="00AF3865">
                                          <w:pPr>
                                            <w:pStyle w:val="NormalWeb"/>
                                            <w:spacing w:before="0" w:beforeAutospacing="0" w:after="225" w:afterAutospacing="0"/>
                                          </w:pPr>
                                          <w:r>
                                            <w:rPr>
                                              <w:rFonts w:ascii="Calibri" w:hAnsi="Calibri" w:cs="Calibri"/>
                                              <w:sz w:val="23"/>
                                              <w:szCs w:val="23"/>
                                            </w:rPr>
                                            <w:t>Please be aware of the formulary updates.</w:t>
                                          </w:r>
                                        </w:p>
                                        <w:p w14:paraId="510202D3" w14:textId="77777777" w:rsidR="00AF3865" w:rsidRDefault="00AF3865">
                                          <w:pPr>
                                            <w:pStyle w:val="Heading3"/>
                                            <w:spacing w:before="0" w:after="255"/>
                                            <w:rPr>
                                              <w:rFonts w:ascii="Calibri" w:eastAsia="Times New Roman" w:hAnsi="Calibri" w:cs="Calibri"/>
                                              <w:sz w:val="38"/>
                                              <w:szCs w:val="38"/>
                                            </w:rPr>
                                          </w:pPr>
                                          <w:r>
                                            <w:rPr>
                                              <w:rStyle w:val="normaltextrun"/>
                                              <w:rFonts w:ascii="Calibri" w:eastAsia="Times New Roman" w:hAnsi="Calibri" w:cs="Calibri"/>
                                              <w:sz w:val="38"/>
                                              <w:szCs w:val="38"/>
                                            </w:rPr>
                                            <w:t>(BOB guideline only): DOAC initiation and monitoring guidance for stroke prevention in Non-Valvular Atrial Fibrillation</w:t>
                                          </w:r>
                                          <w:r>
                                            <w:rPr>
                                              <w:rFonts w:ascii="Calibri" w:eastAsia="Times New Roman" w:hAnsi="Calibri" w:cs="Calibri"/>
                                              <w:sz w:val="38"/>
                                              <w:szCs w:val="38"/>
                                            </w:rPr>
                                            <w:t xml:space="preserve"> </w:t>
                                          </w:r>
                                        </w:p>
                                        <w:p w14:paraId="553336C3" w14:textId="77777777" w:rsidR="00AF3865" w:rsidRDefault="00AF3865">
                                          <w:pPr>
                                            <w:pStyle w:val="NormalWeb"/>
                                            <w:spacing w:before="0" w:beforeAutospacing="0" w:after="225" w:afterAutospacing="0"/>
                                          </w:pPr>
                                          <w:r>
                                            <w:rPr>
                                              <w:rFonts w:ascii="Calibri" w:hAnsi="Calibri" w:cs="Calibri"/>
                                              <w:sz w:val="23"/>
                                              <w:szCs w:val="23"/>
                                            </w:rPr>
                                            <w:t>The </w:t>
                                          </w:r>
                                          <w:hyperlink r:id="rId29" w:tgtFrame="_blank" w:history="1">
                                            <w:r>
                                              <w:rPr>
                                                <w:rStyle w:val="Hyperlink"/>
                                                <w:color w:val="1D5782"/>
                                              </w:rPr>
                                              <w:t>BOB DOAC initiation and monitoring guidance for stroke prevention in Non-Valvular Atrial Fibrillation (AF) guideline</w:t>
                                            </w:r>
                                          </w:hyperlink>
                                          <w:r>
                                            <w:t> was approved by the BOB Area Prescribing Committee in March 2026.  This replaces the 2024 BOB ICB DOAC position statement which will be withdrawn.  </w:t>
                                          </w:r>
                                        </w:p>
                                        <w:p w14:paraId="28C8B613" w14:textId="77777777" w:rsidR="00AF3865" w:rsidRDefault="00AF3865">
                                          <w:pPr>
                                            <w:pStyle w:val="NormalWeb"/>
                                            <w:spacing w:before="0" w:beforeAutospacing="0" w:after="225" w:afterAutospacing="0"/>
                                          </w:pPr>
                                          <w:r>
                                            <w:rPr>
                                              <w:rFonts w:ascii="Calibri" w:hAnsi="Calibri" w:cs="Calibri"/>
                                              <w:sz w:val="23"/>
                                              <w:szCs w:val="23"/>
                                            </w:rPr>
                                            <w:t> </w:t>
                                          </w:r>
                                          <w:r>
                                            <w:t>Key guidance includes: </w:t>
                                          </w:r>
                                        </w:p>
                                        <w:p w14:paraId="36FDCB92" w14:textId="77777777" w:rsidR="00AF3865" w:rsidRDefault="00AF3865">
                                          <w:pPr>
                                            <w:numPr>
                                              <w:ilvl w:val="0"/>
                                              <w:numId w:val="18"/>
                                            </w:numPr>
                                            <w:spacing w:after="225"/>
                                          </w:pPr>
                                          <w:r>
                                            <w:rPr>
                                              <w:rFonts w:ascii="Calibri" w:eastAsia="Times New Roman" w:hAnsi="Calibri" w:cs="Calibri"/>
                                              <w:sz w:val="23"/>
                                              <w:szCs w:val="23"/>
                                            </w:rPr>
                                            <w:t>When all considerations are equal, the most cost-effective DOAC should be prescribed. </w:t>
                                          </w:r>
                                          <w:proofErr w:type="gramStart"/>
                                          <w:r>
                                            <w:rPr>
                                              <w:rStyle w:val="Strong"/>
                                              <w:rFonts w:ascii="Calibri" w:hAnsi="Calibri" w:cs="Calibri"/>
                                            </w:rPr>
                                            <w:t>Generic</w:t>
                                          </w:r>
                                          <w:r>
                                            <w:t> apixaban or </w:t>
                                          </w:r>
                                          <w:r>
                                            <w:rPr>
                                              <w:rStyle w:val="Strong"/>
                                              <w:rFonts w:ascii="Calibri" w:hAnsi="Calibri" w:cs="Calibri"/>
                                            </w:rPr>
                                            <w:t>generic</w:t>
                                          </w:r>
                                          <w:r>
                                            <w:t> rivaroxaban,</w:t>
                                          </w:r>
                                          <w:proofErr w:type="gramEnd"/>
                                          <w:r>
                                            <w:t xml:space="preserve"> are the joint best value DOAC (for twice and once daily treatment) and recommended as first line (preferred) DOAC in newly diagnosed patients with AF, unless contraindicated, not tolerated or clinically inappropriate.  </w:t>
                                          </w:r>
                                        </w:p>
                                        <w:p w14:paraId="4177839E" w14:textId="77777777" w:rsidR="00AF3865" w:rsidRDefault="00AF3865">
                                          <w:pPr>
                                            <w:numPr>
                                              <w:ilvl w:val="0"/>
                                              <w:numId w:val="19"/>
                                            </w:numPr>
                                            <w:spacing w:after="225"/>
                                          </w:pPr>
                                          <w:r>
                                            <w:rPr>
                                              <w:rFonts w:ascii="Calibri" w:eastAsia="Times New Roman" w:hAnsi="Calibri" w:cs="Calibri"/>
                                              <w:sz w:val="23"/>
                                              <w:szCs w:val="23"/>
                                            </w:rPr>
                                            <w:t>For </w:t>
                                          </w:r>
                                          <w:r>
                                            <w:t>stroke risk assessment use CHA2DS2</w:t>
                                          </w:r>
                                          <w:r>
                                            <w:noBreakHyphen/>
                                            <w:t>VA instead of CHA2DS2</w:t>
                                          </w:r>
                                          <w:r>
                                            <w:noBreakHyphen/>
                                            <w:t xml:space="preserve">VASc.  </w:t>
                                          </w:r>
                                        </w:p>
                                        <w:p w14:paraId="21012D9A" w14:textId="77777777" w:rsidR="00AF3865" w:rsidRDefault="00AF3865">
                                          <w:pPr>
                                            <w:numPr>
                                              <w:ilvl w:val="0"/>
                                              <w:numId w:val="20"/>
                                            </w:numPr>
                                            <w:spacing w:after="225"/>
                                          </w:pPr>
                                          <w:r>
                                            <w:rPr>
                                              <w:rFonts w:ascii="Calibri" w:eastAsia="Times New Roman" w:hAnsi="Calibri" w:cs="Calibri"/>
                                              <w:sz w:val="23"/>
                                              <w:szCs w:val="23"/>
                                            </w:rPr>
                                            <w:t>Assess and manage modifiable bleeding risk factors as part of shared decision-making to ensure safety and prevent bleeding. </w:t>
                                          </w:r>
                                          <w:r>
                                            <w:rPr>
                                              <w:rStyle w:val="Strong"/>
                                              <w:rFonts w:ascii="Calibri" w:hAnsi="Calibri" w:cs="Calibri"/>
                                            </w:rPr>
                                            <w:t>Do not</w:t>
                                          </w:r>
                                          <w:r>
                                            <w:t xml:space="preserve"> use bleeding risk scores to withhold necessary oral anticoagulation therapy in this high-risk cohort.  </w:t>
                                          </w:r>
                                        </w:p>
                                        <w:p w14:paraId="453F2152" w14:textId="77777777" w:rsidR="00AF3865" w:rsidRDefault="00AF3865">
                                          <w:pPr>
                                            <w:numPr>
                                              <w:ilvl w:val="0"/>
                                              <w:numId w:val="21"/>
                                            </w:numPr>
                                            <w:spacing w:after="225"/>
                                          </w:pPr>
                                          <w:r>
                                            <w:rPr>
                                              <w:rFonts w:ascii="Calibri" w:eastAsia="Times New Roman" w:hAnsi="Calibri" w:cs="Calibri"/>
                                              <w:sz w:val="23"/>
                                              <w:szCs w:val="23"/>
                                            </w:rPr>
                                            <w:t>Updated baseline testing and ongoing monitoring requirements.</w:t>
                                          </w:r>
                                          <w:r>
                                            <w:t xml:space="preserve">  </w:t>
                                          </w:r>
                                        </w:p>
                                        <w:p w14:paraId="21EE1F5B" w14:textId="77777777" w:rsidR="00AF3865" w:rsidRDefault="00AF3865">
                                          <w:pPr>
                                            <w:numPr>
                                              <w:ilvl w:val="0"/>
                                              <w:numId w:val="22"/>
                                            </w:numPr>
                                            <w:spacing w:after="225"/>
                                          </w:pPr>
                                          <w:r>
                                            <w:rPr>
                                              <w:rFonts w:ascii="Calibri" w:eastAsia="Times New Roman" w:hAnsi="Calibri" w:cs="Calibri"/>
                                              <w:sz w:val="23"/>
                                              <w:szCs w:val="23"/>
                                            </w:rPr>
                                            <w:lastRenderedPageBreak/>
                                            <w:t>Practical guidance for specific populations, including guidance on dosing per renal function trend. </w:t>
                                          </w:r>
                                          <w:r>
                                            <w:t xml:space="preserve">  </w:t>
                                          </w:r>
                                        </w:p>
                                        <w:p w14:paraId="4735B45C" w14:textId="77777777" w:rsidR="00AF3865" w:rsidRDefault="00AF3865">
                                          <w:pPr>
                                            <w:pStyle w:val="NormalWeb"/>
                                            <w:spacing w:before="0" w:beforeAutospacing="0" w:after="225" w:afterAutospacing="0"/>
                                          </w:pPr>
                                          <w:r>
                                            <w:rPr>
                                              <w:rFonts w:ascii="Calibri" w:hAnsi="Calibri" w:cs="Calibri"/>
                                              <w:sz w:val="23"/>
                                              <w:szCs w:val="23"/>
                                            </w:rPr>
                                            <w:t> </w:t>
                                          </w:r>
                                          <w:r>
                                            <w:t>A webinar for BOB primary and secondary care will be held regarding the new guideline, details to follow.</w:t>
                                          </w:r>
                                        </w:p>
                                        <w:p w14:paraId="72550024" w14:textId="77777777" w:rsidR="00AF3865" w:rsidRDefault="00AF3865">
                                          <w:pPr>
                                            <w:pStyle w:val="NormalWeb"/>
                                            <w:spacing w:before="0" w:beforeAutospacing="0" w:after="225" w:afterAutospacing="0"/>
                                          </w:pPr>
                                          <w:r>
                                            <w:rPr>
                                              <w:rStyle w:val="Strong"/>
                                              <w:rFonts w:ascii="Calibri" w:hAnsi="Calibri" w:cs="Calibri"/>
                                              <w:sz w:val="23"/>
                                              <w:szCs w:val="23"/>
                                            </w:rPr>
                                            <w:t>Actions for Practices: </w:t>
                                          </w:r>
                                          <w:r>
                                            <w:rPr>
                                              <w:rFonts w:ascii="Calibri" w:hAnsi="Calibri" w:cs="Calibri"/>
                                              <w:sz w:val="23"/>
                                              <w:szCs w:val="23"/>
                                            </w:rPr>
                                            <w:t> </w:t>
                                          </w:r>
                                        </w:p>
                                        <w:p w14:paraId="41F3534C" w14:textId="77777777" w:rsidR="00AF3865" w:rsidRDefault="00AF3865">
                                          <w:pPr>
                                            <w:pStyle w:val="NormalWeb"/>
                                            <w:spacing w:before="0" w:beforeAutospacing="0" w:after="225" w:afterAutospacing="0"/>
                                          </w:pPr>
                                          <w:r>
                                            <w:rPr>
                                              <w:rFonts w:ascii="Calibri" w:hAnsi="Calibri" w:cs="Calibri"/>
                                              <w:sz w:val="23"/>
                                              <w:szCs w:val="23"/>
                                            </w:rPr>
                                            <w:t>Please share the new guidance widely within your clinical teams.</w:t>
                                          </w:r>
                                        </w:p>
                                        <w:p w14:paraId="2ECF6BF1" w14:textId="77777777" w:rsidR="00AF3865" w:rsidRDefault="00AF3865">
                                          <w:pPr>
                                            <w:pStyle w:val="Heading2"/>
                                            <w:spacing w:before="0" w:after="270"/>
                                            <w:rPr>
                                              <w:rFonts w:ascii="Calibri" w:eastAsia="Times New Roman" w:hAnsi="Calibri" w:cs="Calibri"/>
                                              <w:color w:val="003087"/>
                                              <w:sz w:val="45"/>
                                              <w:szCs w:val="45"/>
                                            </w:rPr>
                                          </w:pPr>
                                          <w:proofErr w:type="spellStart"/>
                                          <w:r>
                                            <w:rPr>
                                              <w:rStyle w:val="Strong"/>
                                              <w:rFonts w:ascii="Calibri" w:eastAsia="Times New Roman" w:hAnsi="Calibri" w:cs="Calibri"/>
                                              <w:b w:val="0"/>
                                              <w:bCs w:val="0"/>
                                              <w:color w:val="003087"/>
                                              <w:sz w:val="45"/>
                                              <w:szCs w:val="45"/>
                                            </w:rPr>
                                            <w:t>ScriptSwitch</w:t>
                                          </w:r>
                                          <w:proofErr w:type="spellEnd"/>
                                          <w:r>
                                            <w:rPr>
                                              <w:rStyle w:val="Strong"/>
                                              <w:rFonts w:ascii="Calibri" w:eastAsia="Times New Roman" w:hAnsi="Calibri" w:cs="Calibri"/>
                                              <w:b w:val="0"/>
                                              <w:bCs w:val="0"/>
                                              <w:color w:val="003087"/>
                                              <w:sz w:val="45"/>
                                              <w:szCs w:val="45"/>
                                            </w:rPr>
                                            <w:t xml:space="preserve"> Updates</w:t>
                                          </w:r>
                                        </w:p>
                                        <w:p w14:paraId="666CD484" w14:textId="77777777" w:rsidR="00AF3865" w:rsidRDefault="00AF3865">
                                          <w:pPr>
                                            <w:pStyle w:val="Heading3"/>
                                            <w:spacing w:before="0" w:after="255"/>
                                            <w:rPr>
                                              <w:rFonts w:ascii="Calibri" w:eastAsia="Times New Roman" w:hAnsi="Calibri" w:cs="Calibri"/>
                                              <w:color w:val="auto"/>
                                              <w:sz w:val="38"/>
                                              <w:szCs w:val="38"/>
                                            </w:rPr>
                                          </w:pPr>
                                          <w:r>
                                            <w:rPr>
                                              <w:rStyle w:val="normaltextrun"/>
                                              <w:rFonts w:ascii="Calibri" w:eastAsia="Times New Roman" w:hAnsi="Calibri" w:cs="Calibri"/>
                                              <w:sz w:val="38"/>
                                              <w:szCs w:val="38"/>
                                            </w:rPr>
                                            <w:t>New methotrexate and co-prescribed antibiotic safety message</w:t>
                                          </w:r>
                                          <w:r>
                                            <w:rPr>
                                              <w:rFonts w:ascii="Calibri" w:eastAsia="Times New Roman" w:hAnsi="Calibri" w:cs="Calibri"/>
                                              <w:sz w:val="38"/>
                                              <w:szCs w:val="38"/>
                                            </w:rPr>
                                            <w:t xml:space="preserve"> </w:t>
                                          </w:r>
                                        </w:p>
                                        <w:p w14:paraId="7821AF3B" w14:textId="77777777" w:rsidR="00AF3865" w:rsidRDefault="00AF3865">
                                          <w:pPr>
                                            <w:pStyle w:val="NormalWeb"/>
                                            <w:spacing w:before="0" w:beforeAutospacing="0" w:after="225" w:afterAutospacing="0"/>
                                          </w:pPr>
                                          <w:r>
                                            <w:rPr>
                                              <w:rFonts w:ascii="Calibri" w:hAnsi="Calibri" w:cs="Calibri"/>
                                              <w:sz w:val="23"/>
                                              <w:szCs w:val="23"/>
                                            </w:rPr>
                                            <w:t xml:space="preserve">Following a previous methotrexate-related patient fatality in the BOB area, a targeted </w:t>
                                          </w:r>
                                          <w:proofErr w:type="spellStart"/>
                                          <w:r>
                                            <w:rPr>
                                              <w:rFonts w:ascii="Calibri" w:hAnsi="Calibri" w:cs="Calibri"/>
                                              <w:sz w:val="23"/>
                                              <w:szCs w:val="23"/>
                                            </w:rPr>
                                            <w:t>ScriptSwitch</w:t>
                                          </w:r>
                                          <w:proofErr w:type="spellEnd"/>
                                          <w:r>
                                            <w:rPr>
                                              <w:rFonts w:ascii="Calibri" w:hAnsi="Calibri" w:cs="Calibri"/>
                                              <w:sz w:val="23"/>
                                              <w:szCs w:val="23"/>
                                            </w:rPr>
                                            <w:t xml:space="preserve"> safety message was requested to highlight the potential drug interaction.  Antibiotics may alter methotrexate levels. </w:t>
                                          </w:r>
                                          <w:r>
                                            <w:t xml:space="preserve">This message has been implemented across all Thames Valley </w:t>
                                          </w:r>
                                          <w:proofErr w:type="spellStart"/>
                                          <w:r>
                                            <w:t>ScriptSwitch</w:t>
                                          </w:r>
                                          <w:proofErr w:type="spellEnd"/>
                                          <w:r>
                                            <w:t xml:space="preserve"> profiles and will be triggered when an antibiotic is prescribed for a patient who is currently receiving methotrexate.</w:t>
                                          </w:r>
                                        </w:p>
                                        <w:p w14:paraId="3F4C5E20" w14:textId="77777777" w:rsidR="00AF3865" w:rsidRDefault="00AF3865">
                                          <w:pPr>
                                            <w:pStyle w:val="NormalWeb"/>
                                            <w:spacing w:before="0" w:beforeAutospacing="0" w:after="225" w:afterAutospacing="0"/>
                                          </w:pPr>
                                          <w:r>
                                            <w:rPr>
                                              <w:rFonts w:ascii="Calibri" w:hAnsi="Calibri" w:cs="Calibri"/>
                                              <w:sz w:val="23"/>
                                              <w:szCs w:val="23"/>
                                            </w:rPr>
                                            <w:t> </w:t>
                                          </w:r>
                                          <w:r>
                                            <w:t xml:space="preserve">The national </w:t>
                                          </w:r>
                                          <w:proofErr w:type="spellStart"/>
                                          <w:r>
                                            <w:t>ScriptSwitch</w:t>
                                          </w:r>
                                          <w:proofErr w:type="spellEnd"/>
                                          <w:r>
                                            <w:t xml:space="preserve"> message advises using with caution, however local Thames Valley guidance is as follows:  If the patient has a significant infection requiring antibiotics, methotrexate should be withheld until they have completed the antibiotic course.  Once the patient has recovered restart methotrexate.  Consider additional investigations if clinically appropriate.  See shared care protocols (</w:t>
                                          </w:r>
                                          <w:hyperlink r:id="rId30" w:tgtFrame="_blank" w:tooltip="https://www.thamesvalleyformulary.nhs.uk/docs/files/bob%20icb%20methotrexate%20adult%20shared%20care%20protocol.pdf?unlid=2823827662026617153218" w:history="1">
                                            <w:r>
                                              <w:rPr>
                                                <w:rStyle w:val="Hyperlink"/>
                                                <w:color w:val="1D5782"/>
                                              </w:rPr>
                                              <w:t>BOB Adult</w:t>
                                            </w:r>
                                          </w:hyperlink>
                                          <w:r>
                                            <w:t xml:space="preserve"> , </w:t>
                                          </w:r>
                                          <w:hyperlink r:id="rId31" w:tgtFrame="_blank" w:tooltip="https://www.bucksoxonberksw.icb.nhs.uk/media/6830/bob-icb-methotrexate-paediatric-shared-care-protocol.pdf" w:history="1">
                                            <w:r>
                                              <w:rPr>
                                                <w:rStyle w:val="Hyperlink"/>
                                                <w:color w:val="1D5782"/>
                                              </w:rPr>
                                              <w:t>BOB paediatric</w:t>
                                            </w:r>
                                          </w:hyperlink>
                                          <w:r>
                                            <w:t> and </w:t>
                                          </w:r>
                                          <w:hyperlink r:id="rId32" w:tgtFrame="_blank" w:history="1">
                                            <w:r>
                                              <w:rPr>
                                                <w:rStyle w:val="Hyperlink"/>
                                                <w:color w:val="1D5782"/>
                                              </w:rPr>
                                              <w:t>Frimley</w:t>
                                            </w:r>
                                          </w:hyperlink>
                                          <w:r>
                                            <w:t>) for full information. </w:t>
                                          </w:r>
                                        </w:p>
                                        <w:p w14:paraId="6FC3B67B" w14:textId="77777777" w:rsidR="00AF3865" w:rsidRDefault="00AF3865">
                                          <w:pPr>
                                            <w:pStyle w:val="NormalWeb"/>
                                            <w:spacing w:before="0" w:beforeAutospacing="0" w:after="225" w:afterAutospacing="0"/>
                                          </w:pPr>
                                          <w:r>
                                            <w:rPr>
                                              <w:rFonts w:ascii="Calibri" w:hAnsi="Calibri" w:cs="Calibri"/>
                                              <w:sz w:val="23"/>
                                              <w:szCs w:val="23"/>
                                            </w:rPr>
                                            <w:t> </w:t>
                                          </w:r>
                                          <w:r>
                                            <w:t xml:space="preserve">Further details of the patient incident can be found in the </w:t>
                                          </w:r>
                                          <w:hyperlink r:id="rId33" w:tgtFrame="_blank" w:tooltip="Methotrexate Patient Safety Incident report" w:history="1">
                                            <w:r>
                                              <w:rPr>
                                                <w:rStyle w:val="Hyperlink"/>
                                                <w:color w:val="1D5782"/>
                                              </w:rPr>
                                              <w:t>BOB System Incident Review </w:t>
                                            </w:r>
                                          </w:hyperlink>
                                          <w:r>
                                            <w:t> which identified key learnings to support learning, reflection, and safer practice across the system.   </w:t>
                                          </w:r>
                                        </w:p>
                                        <w:p w14:paraId="423C8A1D" w14:textId="77777777" w:rsidR="00AF3865" w:rsidRDefault="00AF3865">
                                          <w:pPr>
                                            <w:pStyle w:val="NormalWeb"/>
                                            <w:spacing w:before="0" w:beforeAutospacing="0" w:after="225" w:afterAutospacing="0"/>
                                          </w:pPr>
                                          <w:r>
                                            <w:rPr>
                                              <w:rFonts w:ascii="Calibri" w:hAnsi="Calibri" w:cs="Calibri"/>
                                              <w:sz w:val="23"/>
                                              <w:szCs w:val="23"/>
                                            </w:rPr>
                                            <w:t> </w:t>
                                          </w:r>
                                          <w:r>
                                            <w:t>In addition a reminder that methotrexate 10mg tablets should </w:t>
                                          </w:r>
                                          <w:r>
                                            <w:rPr>
                                              <w:rStyle w:val="Strong"/>
                                              <w:rFonts w:ascii="Calibri" w:hAnsi="Calibri" w:cs="Calibri"/>
                                            </w:rPr>
                                            <w:t>not</w:t>
                                          </w:r>
                                          <w:r>
                                            <w:t> be prescribed or dispensed as per </w:t>
                                          </w:r>
                                          <w:hyperlink r:id="rId34" w:tgtFrame="_blank" w:history="1">
                                            <w:r>
                                              <w:rPr>
                                                <w:rStyle w:val="Hyperlink"/>
                                                <w:color w:val="1D5782"/>
                                              </w:rPr>
                                              <w:t>BOB</w:t>
                                            </w:r>
                                          </w:hyperlink>
                                          <w:r>
                                            <w:t> and </w:t>
                                          </w:r>
                                          <w:hyperlink r:id="rId35" w:tgtFrame="_blank" w:history="1">
                                            <w:r>
                                              <w:rPr>
                                                <w:rStyle w:val="Hyperlink"/>
                                                <w:color w:val="1D5782"/>
                                              </w:rPr>
                                              <w:t>Frimley</w:t>
                                            </w:r>
                                          </w:hyperlink>
                                          <w:r>
                                            <w:t> position statements and accompanying </w:t>
                                          </w:r>
                                          <w:hyperlink r:id="rId36" w:tgtFrame="_blank" w:history="1">
                                            <w:r>
                                              <w:rPr>
                                                <w:rStyle w:val="Hyperlink"/>
                                                <w:color w:val="1D5782"/>
                                              </w:rPr>
                                              <w:t>BOB ICS Methotrexate Patient Information Leaflet</w:t>
                                            </w:r>
                                          </w:hyperlink>
                                          <w:r>
                                            <w:t>. </w:t>
                                          </w:r>
                                        </w:p>
                                        <w:p w14:paraId="278B5713" w14:textId="77777777" w:rsidR="00AF3865" w:rsidRDefault="00AF3865">
                                          <w:pPr>
                                            <w:pStyle w:val="NormalWeb"/>
                                            <w:spacing w:before="0" w:beforeAutospacing="0" w:after="225" w:afterAutospacing="0"/>
                                          </w:pPr>
                                          <w:r>
                                            <w:rPr>
                                              <w:rStyle w:val="Strong"/>
                                              <w:rFonts w:ascii="Calibri" w:hAnsi="Calibri" w:cs="Calibri"/>
                                              <w:sz w:val="23"/>
                                              <w:szCs w:val="23"/>
                                            </w:rPr>
                                            <w:t>Actions for Practices: </w:t>
                                          </w:r>
                                          <w:r>
                                            <w:rPr>
                                              <w:rFonts w:ascii="Calibri" w:hAnsi="Calibri" w:cs="Calibri"/>
                                              <w:sz w:val="23"/>
                                              <w:szCs w:val="23"/>
                                            </w:rPr>
                                            <w:t> </w:t>
                                          </w:r>
                                        </w:p>
                                        <w:p w14:paraId="279833E5" w14:textId="77777777" w:rsidR="00AF3865" w:rsidRDefault="00AF3865">
                                          <w:pPr>
                                            <w:pStyle w:val="NormalWeb"/>
                                            <w:spacing w:before="0" w:beforeAutospacing="0" w:after="225" w:afterAutospacing="0"/>
                                          </w:pPr>
                                          <w:r>
                                            <w:rPr>
                                              <w:rFonts w:ascii="Calibri" w:hAnsi="Calibri" w:cs="Calibri"/>
                                              <w:sz w:val="23"/>
                                              <w:szCs w:val="23"/>
                                            </w:rPr>
                                            <w:t>Methotrexate is a high-risk medication.  Be aware of, and share with colleagues, the new methotrexate and antibiotic co-prescribing safety message.</w:t>
                                          </w:r>
                                          <w:r>
                                            <w:t> </w:t>
                                          </w:r>
                                        </w:p>
                                        <w:p w14:paraId="150B9051" w14:textId="77777777" w:rsidR="00AF3865" w:rsidRDefault="00AF3865">
                                          <w:pPr>
                                            <w:pStyle w:val="Heading2"/>
                                            <w:spacing w:before="0" w:after="270"/>
                                            <w:rPr>
                                              <w:rFonts w:ascii="Calibri" w:eastAsia="Times New Roman" w:hAnsi="Calibri" w:cs="Calibri"/>
                                              <w:color w:val="003087"/>
                                              <w:sz w:val="45"/>
                                              <w:szCs w:val="45"/>
                                            </w:rPr>
                                          </w:pPr>
                                          <w:r>
                                            <w:rPr>
                                              <w:rFonts w:ascii="Calibri" w:eastAsia="Times New Roman" w:hAnsi="Calibri" w:cs="Calibri"/>
                                              <w:color w:val="003087"/>
                                              <w:sz w:val="45"/>
                                              <w:szCs w:val="45"/>
                                            </w:rPr>
                                            <w:lastRenderedPageBreak/>
                                            <w:t>Dietetic &amp; Nutrition Updates </w:t>
                                          </w:r>
                                        </w:p>
                                        <w:p w14:paraId="77AC28C6" w14:textId="77777777" w:rsidR="00AF3865" w:rsidRDefault="00AF3865">
                                          <w:pPr>
                                            <w:pStyle w:val="Heading3"/>
                                            <w:spacing w:before="0" w:after="255"/>
                                            <w:rPr>
                                              <w:rFonts w:ascii="Calibri" w:eastAsia="Times New Roman" w:hAnsi="Calibri" w:cs="Calibri"/>
                                              <w:color w:val="auto"/>
                                              <w:sz w:val="38"/>
                                              <w:szCs w:val="38"/>
                                            </w:rPr>
                                          </w:pPr>
                                          <w:proofErr w:type="spellStart"/>
                                          <w:r>
                                            <w:rPr>
                                              <w:rStyle w:val="Strong"/>
                                              <w:rFonts w:ascii="Calibri" w:eastAsia="Times New Roman" w:hAnsi="Calibri" w:cs="Calibri"/>
                                              <w:b w:val="0"/>
                                              <w:bCs w:val="0"/>
                                              <w:sz w:val="38"/>
                                              <w:szCs w:val="38"/>
                                            </w:rPr>
                                            <w:t>Altraplen</w:t>
                                          </w:r>
                                          <w:proofErr w:type="spellEnd"/>
                                          <w:r>
                                            <w:rPr>
                                              <w:rStyle w:val="Strong"/>
                                              <w:rFonts w:ascii="Calibri" w:eastAsia="Times New Roman" w:hAnsi="Calibri" w:cs="Calibri"/>
                                              <w:b w:val="0"/>
                                              <w:bCs w:val="0"/>
                                              <w:sz w:val="38"/>
                                              <w:szCs w:val="38"/>
                                            </w:rPr>
                                            <w:t> Compact (125ml) and </w:t>
                                          </w:r>
                                          <w:proofErr w:type="spellStart"/>
                                          <w:r>
                                            <w:rPr>
                                              <w:rStyle w:val="Strong"/>
                                              <w:rFonts w:ascii="Calibri" w:eastAsia="Times New Roman" w:hAnsi="Calibri" w:cs="Calibri"/>
                                              <w:b w:val="0"/>
                                              <w:bCs w:val="0"/>
                                              <w:sz w:val="38"/>
                                              <w:szCs w:val="38"/>
                                            </w:rPr>
                                            <w:t>Altraplen</w:t>
                                          </w:r>
                                          <w:proofErr w:type="spellEnd"/>
                                          <w:r>
                                            <w:rPr>
                                              <w:rStyle w:val="Strong"/>
                                              <w:rFonts w:ascii="Calibri" w:eastAsia="Times New Roman" w:hAnsi="Calibri" w:cs="Calibri"/>
                                              <w:b w:val="0"/>
                                              <w:bCs w:val="0"/>
                                              <w:sz w:val="38"/>
                                              <w:szCs w:val="38"/>
                                            </w:rPr>
                                            <w:t> Compact DAILY (250ml)</w:t>
                                          </w:r>
                                          <w:r>
                                            <w:rPr>
                                              <w:rFonts w:ascii="Calibri" w:eastAsia="Times New Roman" w:hAnsi="Calibri" w:cs="Calibri"/>
                                              <w:sz w:val="38"/>
                                              <w:szCs w:val="38"/>
                                            </w:rPr>
                                            <w:t xml:space="preserve"> </w:t>
                                          </w:r>
                                          <w:r>
                                            <w:rPr>
                                              <w:rStyle w:val="Emphasis"/>
                                              <w:rFonts w:ascii="Calibri" w:eastAsia="Times New Roman" w:hAnsi="Calibri" w:cs="Calibri"/>
                                              <w:sz w:val="38"/>
                                              <w:szCs w:val="38"/>
                                            </w:rPr>
                                            <w:t>Look Alike-Sound Alike (LASA) errors in nutritional product</w:t>
                                          </w:r>
                                          <w:r>
                                            <w:rPr>
                                              <w:rStyle w:val="Strong"/>
                                              <w:rFonts w:ascii="Calibri" w:eastAsia="Times New Roman" w:hAnsi="Calibri" w:cs="Calibri"/>
                                              <w:b w:val="0"/>
                                              <w:bCs w:val="0"/>
                                              <w:sz w:val="38"/>
                                              <w:szCs w:val="38"/>
                                            </w:rPr>
                                            <w:t>s</w:t>
                                          </w:r>
                                          <w:r>
                                            <w:rPr>
                                              <w:rFonts w:ascii="Calibri" w:eastAsia="Times New Roman" w:hAnsi="Calibri" w:cs="Calibri"/>
                                              <w:sz w:val="38"/>
                                              <w:szCs w:val="38"/>
                                            </w:rPr>
                                            <w:t xml:space="preserve">  </w:t>
                                          </w:r>
                                        </w:p>
                                        <w:p w14:paraId="22A51A5C" w14:textId="77777777" w:rsidR="00AF3865" w:rsidRDefault="00AF3865">
                                          <w:pPr>
                                            <w:pStyle w:val="NormalWeb"/>
                                            <w:spacing w:before="0" w:beforeAutospacing="0" w:after="225" w:afterAutospacing="0"/>
                                          </w:pPr>
                                          <w:proofErr w:type="spellStart"/>
                                          <w:r>
                                            <w:rPr>
                                              <w:rFonts w:ascii="Calibri" w:hAnsi="Calibri" w:cs="Calibri"/>
                                              <w:sz w:val="23"/>
                                              <w:szCs w:val="23"/>
                                            </w:rPr>
                                            <w:t>Altraplen</w:t>
                                          </w:r>
                                          <w:proofErr w:type="spellEnd"/>
                                          <w:r>
                                            <w:rPr>
                                              <w:rFonts w:ascii="Calibri" w:hAnsi="Calibri" w:cs="Calibri"/>
                                              <w:sz w:val="23"/>
                                              <w:szCs w:val="23"/>
                                            </w:rPr>
                                            <w:t> Compact (</w:t>
                                          </w:r>
                                          <w:r>
                                            <w:rPr>
                                              <w:rStyle w:val="Strong"/>
                                              <w:rFonts w:ascii="Calibri" w:hAnsi="Calibri" w:cs="Calibri"/>
                                            </w:rPr>
                                            <w:t>125</w:t>
                                          </w:r>
                                          <w:r>
                                            <w:t>ml) and </w:t>
                                          </w:r>
                                          <w:proofErr w:type="spellStart"/>
                                          <w:r>
                                            <w:t>Altraplen</w:t>
                                          </w:r>
                                          <w:proofErr w:type="spellEnd"/>
                                          <w:r>
                                            <w:t> Compact DAILY (</w:t>
                                          </w:r>
                                          <w:r>
                                            <w:rPr>
                                              <w:rStyle w:val="Strong"/>
                                              <w:rFonts w:ascii="Calibri" w:hAnsi="Calibri" w:cs="Calibri"/>
                                            </w:rPr>
                                            <w:t>250</w:t>
                                          </w:r>
                                          <w:r>
                                            <w:t>ml) are not the same product. They have different nutrient profiles. Prescribing the wrong product can lead to providing an excess or deficit of nutrients in relation to the patient’s nutritional requirements.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675"/>
                                            <w:gridCol w:w="1870"/>
                                            <w:gridCol w:w="2484"/>
                                          </w:tblGrid>
                                          <w:tr w:rsidR="00AF3865" w14:paraId="419875B9" w14:textId="77777777">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F0FA96" w14:textId="77777777" w:rsidR="00AF3865" w:rsidRDefault="00AF3865">
                                                <w:pPr>
                                                  <w:pStyle w:val="NormalWeb"/>
                                                  <w:spacing w:before="0" w:beforeAutospacing="0" w:after="225" w:afterAutospacing="0"/>
                                                </w:pPr>
                                                <w:r>
                                                  <w:rPr>
                                                    <w:rFonts w:ascii="Calibri" w:hAnsi="Calibri" w:cs="Calibri"/>
                                                    <w:sz w:val="23"/>
                                                    <w:szCs w:val="23"/>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CA2B0D" w14:textId="77777777" w:rsidR="00AF3865" w:rsidRDefault="00AF3865">
                                                <w:pPr>
                                                  <w:pStyle w:val="NormalWeb"/>
                                                  <w:spacing w:before="0" w:beforeAutospacing="0" w:after="225" w:afterAutospacing="0"/>
                                                </w:pPr>
                                                <w:proofErr w:type="spellStart"/>
                                                <w:r>
                                                  <w:rPr>
                                                    <w:rStyle w:val="Strong"/>
                                                    <w:rFonts w:ascii="Calibri" w:hAnsi="Calibri" w:cs="Calibri"/>
                                                    <w:sz w:val="23"/>
                                                    <w:szCs w:val="23"/>
                                                  </w:rPr>
                                                  <w:t>Altraplen</w:t>
                                                </w:r>
                                                <w:proofErr w:type="spellEnd"/>
                                                <w:r>
                                                  <w:rPr>
                                                    <w:rStyle w:val="Strong"/>
                                                    <w:rFonts w:ascii="Calibri" w:hAnsi="Calibri" w:cs="Calibri"/>
                                                    <w:sz w:val="23"/>
                                                    <w:szCs w:val="23"/>
                                                  </w:rPr>
                                                  <w:t> Compact</w:t>
                                                </w:r>
                                                <w:r>
                                                  <w:rPr>
                                                    <w:rFonts w:ascii="Calibri" w:hAnsi="Calibri" w:cs="Calibri"/>
                                                    <w:sz w:val="23"/>
                                                    <w:szCs w:val="23"/>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E27468" w14:textId="77777777" w:rsidR="00AF3865" w:rsidRDefault="00AF3865">
                                                <w:pPr>
                                                  <w:pStyle w:val="NormalWeb"/>
                                                  <w:spacing w:before="0" w:beforeAutospacing="0" w:after="225" w:afterAutospacing="0"/>
                                                </w:pPr>
                                                <w:proofErr w:type="spellStart"/>
                                                <w:r>
                                                  <w:rPr>
                                                    <w:rStyle w:val="Strong"/>
                                                    <w:rFonts w:ascii="Calibri" w:hAnsi="Calibri" w:cs="Calibri"/>
                                                    <w:sz w:val="23"/>
                                                    <w:szCs w:val="23"/>
                                                  </w:rPr>
                                                  <w:t>Altraplen</w:t>
                                                </w:r>
                                                <w:proofErr w:type="spellEnd"/>
                                                <w:r>
                                                  <w:rPr>
                                                    <w:rStyle w:val="Strong"/>
                                                    <w:rFonts w:ascii="Calibri" w:hAnsi="Calibri" w:cs="Calibri"/>
                                                    <w:sz w:val="23"/>
                                                    <w:szCs w:val="23"/>
                                                  </w:rPr>
                                                  <w:t> Compact DAILY</w:t>
                                                </w:r>
                                                <w:r>
                                                  <w:rPr>
                                                    <w:rFonts w:ascii="Calibri" w:hAnsi="Calibri" w:cs="Calibri"/>
                                                    <w:sz w:val="23"/>
                                                    <w:szCs w:val="23"/>
                                                  </w:rPr>
                                                  <w:t> </w:t>
                                                </w:r>
                                              </w:p>
                                            </w:tc>
                                          </w:tr>
                                          <w:tr w:rsidR="00AF3865" w14:paraId="67FA2046" w14:textId="77777777">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E9200A" w14:textId="77777777" w:rsidR="00AF3865" w:rsidRDefault="00AF3865">
                                                <w:pPr>
                                                  <w:pStyle w:val="NormalWeb"/>
                                                  <w:spacing w:before="0" w:beforeAutospacing="0" w:after="225" w:afterAutospacing="0"/>
                                                </w:pPr>
                                                <w:r>
                                                  <w:rPr>
                                                    <w:rStyle w:val="Strong"/>
                                                    <w:rFonts w:ascii="Calibri" w:hAnsi="Calibri" w:cs="Calibri"/>
                                                    <w:sz w:val="23"/>
                                                    <w:szCs w:val="23"/>
                                                  </w:rPr>
                                                  <w:t>Volume presentation</w:t>
                                                </w:r>
                                                <w:r>
                                                  <w:rPr>
                                                    <w:rFonts w:ascii="Calibri" w:hAnsi="Calibri" w:cs="Calibri"/>
                                                    <w:sz w:val="23"/>
                                                    <w:szCs w:val="23"/>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7ECD56" w14:textId="77777777" w:rsidR="00AF3865" w:rsidRDefault="00AF3865">
                                                <w:pPr>
                                                  <w:pStyle w:val="NormalWeb"/>
                                                  <w:spacing w:before="0" w:beforeAutospacing="0" w:after="225" w:afterAutospacing="0"/>
                                                </w:pPr>
                                                <w:r>
                                                  <w:rPr>
                                                    <w:rFonts w:ascii="Calibri" w:hAnsi="Calibri" w:cs="Calibri"/>
                                                    <w:sz w:val="23"/>
                                                    <w:szCs w:val="23"/>
                                                  </w:rPr>
                                                  <w:t>125ml</w:t>
                                                </w: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9854CD" w14:textId="77777777" w:rsidR="00AF3865" w:rsidRDefault="00AF3865">
                                                <w:pPr>
                                                  <w:pStyle w:val="NormalWeb"/>
                                                  <w:spacing w:before="0" w:beforeAutospacing="0" w:after="225" w:afterAutospacing="0"/>
                                                </w:pPr>
                                                <w:r>
                                                  <w:rPr>
                                                    <w:rFonts w:ascii="Calibri" w:hAnsi="Calibri" w:cs="Calibri"/>
                                                    <w:sz w:val="23"/>
                                                    <w:szCs w:val="23"/>
                                                  </w:rPr>
                                                  <w:t>250ml</w:t>
                                                </w:r>
                                                <w:r>
                                                  <w:t> </w:t>
                                                </w:r>
                                              </w:p>
                                            </w:tc>
                                          </w:tr>
                                          <w:tr w:rsidR="00AF3865" w14:paraId="060AB118" w14:textId="77777777">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B51B8A" w14:textId="77777777" w:rsidR="00AF3865" w:rsidRDefault="00AF3865">
                                                <w:pPr>
                                                  <w:pStyle w:val="NormalWeb"/>
                                                  <w:spacing w:before="0" w:beforeAutospacing="0" w:after="225" w:afterAutospacing="0"/>
                                                </w:pPr>
                                                <w:r>
                                                  <w:rPr>
                                                    <w:rStyle w:val="Strong"/>
                                                    <w:rFonts w:ascii="Calibri" w:hAnsi="Calibri" w:cs="Calibri"/>
                                                    <w:sz w:val="23"/>
                                                    <w:szCs w:val="23"/>
                                                  </w:rPr>
                                                  <w:t>Calories per unit (kcal)</w:t>
                                                </w:r>
                                                <w:r>
                                                  <w:rPr>
                                                    <w:rFonts w:ascii="Calibri" w:hAnsi="Calibri" w:cs="Calibri"/>
                                                    <w:sz w:val="23"/>
                                                    <w:szCs w:val="23"/>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EE2526" w14:textId="77777777" w:rsidR="00AF3865" w:rsidRDefault="00AF3865">
                                                <w:pPr>
                                                  <w:pStyle w:val="NormalWeb"/>
                                                  <w:spacing w:before="0" w:beforeAutospacing="0" w:after="225" w:afterAutospacing="0"/>
                                                </w:pPr>
                                                <w:r>
                                                  <w:rPr>
                                                    <w:rFonts w:ascii="Calibri" w:hAnsi="Calibri" w:cs="Calibri"/>
                                                    <w:sz w:val="23"/>
                                                    <w:szCs w:val="23"/>
                                                  </w:rPr>
                                                  <w:t>300kcal</w:t>
                                                </w: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13D623" w14:textId="77777777" w:rsidR="00AF3865" w:rsidRDefault="00AF3865">
                                                <w:pPr>
                                                  <w:pStyle w:val="NormalWeb"/>
                                                  <w:spacing w:before="0" w:beforeAutospacing="0" w:after="225" w:afterAutospacing="0"/>
                                                </w:pPr>
                                                <w:r>
                                                  <w:rPr>
                                                    <w:rFonts w:ascii="Calibri" w:hAnsi="Calibri" w:cs="Calibri"/>
                                                    <w:sz w:val="23"/>
                                                    <w:szCs w:val="23"/>
                                                  </w:rPr>
                                                  <w:t>600kcal</w:t>
                                                </w:r>
                                                <w:r>
                                                  <w:t> </w:t>
                                                </w:r>
                                              </w:p>
                                            </w:tc>
                                          </w:tr>
                                          <w:tr w:rsidR="00AF3865" w14:paraId="621BF621" w14:textId="77777777">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3897EB" w14:textId="77777777" w:rsidR="00AF3865" w:rsidRDefault="00AF3865">
                                                <w:pPr>
                                                  <w:pStyle w:val="NormalWeb"/>
                                                  <w:spacing w:before="0" w:beforeAutospacing="0" w:after="225" w:afterAutospacing="0"/>
                                                </w:pPr>
                                                <w:r>
                                                  <w:rPr>
                                                    <w:rStyle w:val="Strong"/>
                                                    <w:rFonts w:ascii="Calibri" w:hAnsi="Calibri" w:cs="Calibri"/>
                                                    <w:sz w:val="23"/>
                                                    <w:szCs w:val="23"/>
                                                  </w:rPr>
                                                  <w:t>Protein per unit (g)</w:t>
                                                </w:r>
                                                <w:r>
                                                  <w:rPr>
                                                    <w:rFonts w:ascii="Calibri" w:hAnsi="Calibri" w:cs="Calibri"/>
                                                    <w:sz w:val="23"/>
                                                    <w:szCs w:val="23"/>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29070A" w14:textId="77777777" w:rsidR="00AF3865" w:rsidRDefault="00AF3865">
                                                <w:pPr>
                                                  <w:pStyle w:val="NormalWeb"/>
                                                  <w:spacing w:before="0" w:beforeAutospacing="0" w:after="225" w:afterAutospacing="0"/>
                                                </w:pPr>
                                                <w:r>
                                                  <w:rPr>
                                                    <w:rFonts w:ascii="Calibri" w:hAnsi="Calibri" w:cs="Calibri"/>
                                                    <w:sz w:val="23"/>
                                                    <w:szCs w:val="23"/>
                                                  </w:rPr>
                                                  <w:t>12g</w:t>
                                                </w: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FFB6FD" w14:textId="77777777" w:rsidR="00AF3865" w:rsidRDefault="00AF3865">
                                                <w:pPr>
                                                  <w:pStyle w:val="NormalWeb"/>
                                                  <w:spacing w:before="0" w:beforeAutospacing="0" w:after="225" w:afterAutospacing="0"/>
                                                </w:pPr>
                                                <w:r>
                                                  <w:rPr>
                                                    <w:rFonts w:ascii="Calibri" w:hAnsi="Calibri" w:cs="Calibri"/>
                                                    <w:sz w:val="23"/>
                                                    <w:szCs w:val="23"/>
                                                  </w:rPr>
                                                  <w:t>25g</w:t>
                                                </w:r>
                                                <w:r>
                                                  <w:t> </w:t>
                                                </w:r>
                                              </w:p>
                                            </w:tc>
                                          </w:tr>
                                          <w:tr w:rsidR="00AF3865" w14:paraId="171D0105" w14:textId="77777777">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BE3151" w14:textId="77777777" w:rsidR="00AF3865" w:rsidRDefault="00AF3865">
                                                <w:pPr>
                                                  <w:pStyle w:val="NormalWeb"/>
                                                  <w:spacing w:before="0" w:beforeAutospacing="0" w:after="225" w:afterAutospacing="0"/>
                                                </w:pPr>
                                                <w:r>
                                                  <w:rPr>
                                                    <w:rStyle w:val="Strong"/>
                                                    <w:rFonts w:ascii="Calibri" w:hAnsi="Calibri" w:cs="Calibri"/>
                                                    <w:sz w:val="23"/>
                                                    <w:szCs w:val="23"/>
                                                  </w:rPr>
                                                  <w:t>Therapeutic dose</w:t>
                                                </w:r>
                                                <w:r>
                                                  <w:rPr>
                                                    <w:rFonts w:ascii="Calibri" w:hAnsi="Calibri" w:cs="Calibri"/>
                                                    <w:sz w:val="23"/>
                                                    <w:szCs w:val="23"/>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76EEC1" w14:textId="77777777" w:rsidR="00AF3865" w:rsidRDefault="00AF3865">
                                                <w:pPr>
                                                  <w:pStyle w:val="NormalWeb"/>
                                                  <w:spacing w:before="0" w:beforeAutospacing="0" w:after="225" w:afterAutospacing="0"/>
                                                </w:pPr>
                                                <w:r>
                                                  <w:rPr>
                                                    <w:rFonts w:ascii="Calibri" w:hAnsi="Calibri" w:cs="Calibri"/>
                                                    <w:sz w:val="23"/>
                                                    <w:szCs w:val="23"/>
                                                  </w:rPr>
                                                  <w:t>2x 125ml</w:t>
                                                </w: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B24566" w14:textId="77777777" w:rsidR="00AF3865" w:rsidRDefault="00AF3865">
                                                <w:pPr>
                                                  <w:pStyle w:val="NormalWeb"/>
                                                  <w:spacing w:before="0" w:beforeAutospacing="0" w:after="225" w:afterAutospacing="0"/>
                                                </w:pPr>
                                                <w:r>
                                                  <w:rPr>
                                                    <w:rFonts w:ascii="Calibri" w:hAnsi="Calibri" w:cs="Calibri"/>
                                                    <w:sz w:val="23"/>
                                                    <w:szCs w:val="23"/>
                                                  </w:rPr>
                                                  <w:t>1x 250ml</w:t>
                                                </w:r>
                                                <w:r>
                                                  <w:t> </w:t>
                                                </w:r>
                                              </w:p>
                                            </w:tc>
                                          </w:tr>
                                          <w:tr w:rsidR="00AF3865" w14:paraId="1191941C" w14:textId="77777777">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BCE1AD" w14:textId="77777777" w:rsidR="00AF3865" w:rsidRDefault="00AF3865">
                                                <w:pPr>
                                                  <w:pStyle w:val="NormalWeb"/>
                                                  <w:spacing w:before="0" w:beforeAutospacing="0" w:after="225" w:afterAutospacing="0"/>
                                                </w:pPr>
                                                <w:r>
                                                  <w:rPr>
                                                    <w:rStyle w:val="Strong"/>
                                                    <w:rFonts w:ascii="Calibri" w:hAnsi="Calibri" w:cs="Calibri"/>
                                                    <w:sz w:val="23"/>
                                                    <w:szCs w:val="23"/>
                                                  </w:rPr>
                                                  <w:t>Cost per unit</w:t>
                                                </w:r>
                                                <w:r>
                                                  <w:rPr>
                                                    <w:rFonts w:ascii="Calibri" w:hAnsi="Calibri" w:cs="Calibri"/>
                                                    <w:sz w:val="23"/>
                                                    <w:szCs w:val="23"/>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2A80EA" w14:textId="77777777" w:rsidR="00AF3865" w:rsidRDefault="00AF3865">
                                                <w:pPr>
                                                  <w:pStyle w:val="NormalWeb"/>
                                                  <w:spacing w:before="0" w:beforeAutospacing="0" w:after="225" w:afterAutospacing="0"/>
                                                </w:pPr>
                                                <w:r>
                                                  <w:rPr>
                                                    <w:rFonts w:ascii="Calibri" w:hAnsi="Calibri" w:cs="Calibri"/>
                                                    <w:sz w:val="23"/>
                                                    <w:szCs w:val="23"/>
                                                  </w:rPr>
                                                  <w:t>£1.60</w:t>
                                                </w: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A06D65" w14:textId="77777777" w:rsidR="00AF3865" w:rsidRDefault="00AF3865">
                                                <w:pPr>
                                                  <w:pStyle w:val="NormalWeb"/>
                                                  <w:spacing w:before="0" w:beforeAutospacing="0" w:after="225" w:afterAutospacing="0"/>
                                                </w:pPr>
                                                <w:r>
                                                  <w:rPr>
                                                    <w:rFonts w:ascii="Calibri" w:hAnsi="Calibri" w:cs="Calibri"/>
                                                    <w:sz w:val="23"/>
                                                    <w:szCs w:val="23"/>
                                                  </w:rPr>
                                                  <w:t>£1.60</w:t>
                                                </w:r>
                                                <w:r>
                                                  <w:t> </w:t>
                                                </w:r>
                                              </w:p>
                                            </w:tc>
                                          </w:tr>
                                          <w:tr w:rsidR="00AF3865" w14:paraId="42691EB8" w14:textId="77777777">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EBB68A" w14:textId="77777777" w:rsidR="00AF3865" w:rsidRDefault="00AF3865">
                                                <w:pPr>
                                                  <w:pStyle w:val="NormalWeb"/>
                                                  <w:spacing w:before="0" w:beforeAutospacing="0" w:after="225" w:afterAutospacing="0"/>
                                                </w:pPr>
                                                <w:r>
                                                  <w:rPr>
                                                    <w:rStyle w:val="Strong"/>
                                                    <w:rFonts w:ascii="Calibri" w:hAnsi="Calibri" w:cs="Calibri"/>
                                                    <w:sz w:val="23"/>
                                                    <w:szCs w:val="23"/>
                                                  </w:rPr>
                                                  <w:t>Cost per therapeutic dose</w:t>
                                                </w:r>
                                                <w:r>
                                                  <w:rPr>
                                                    <w:rFonts w:ascii="Calibri" w:hAnsi="Calibri" w:cs="Calibri"/>
                                                    <w:sz w:val="23"/>
                                                    <w:szCs w:val="23"/>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C680BC" w14:textId="77777777" w:rsidR="00AF3865" w:rsidRDefault="00AF3865">
                                                <w:pPr>
                                                  <w:pStyle w:val="NormalWeb"/>
                                                  <w:spacing w:before="0" w:beforeAutospacing="0" w:after="225" w:afterAutospacing="0"/>
                                                </w:pPr>
                                                <w:r>
                                                  <w:rPr>
                                                    <w:rFonts w:ascii="Calibri" w:hAnsi="Calibri" w:cs="Calibri"/>
                                                    <w:sz w:val="23"/>
                                                    <w:szCs w:val="23"/>
                                                  </w:rPr>
                                                  <w:t>£3.20</w:t>
                                                </w: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457367" w14:textId="77777777" w:rsidR="00AF3865" w:rsidRDefault="00AF3865">
                                                <w:pPr>
                                                  <w:pStyle w:val="NormalWeb"/>
                                                  <w:spacing w:before="0" w:beforeAutospacing="0" w:after="225" w:afterAutospacing="0"/>
                                                </w:pPr>
                                                <w:r>
                                                  <w:rPr>
                                                    <w:rFonts w:ascii="Calibri" w:hAnsi="Calibri" w:cs="Calibri"/>
                                                    <w:sz w:val="23"/>
                                                    <w:szCs w:val="23"/>
                                                  </w:rPr>
                                                  <w:t>£1.60</w:t>
                                                </w:r>
                                                <w:r>
                                                  <w:t> </w:t>
                                                </w:r>
                                              </w:p>
                                            </w:tc>
                                          </w:tr>
                                          <w:tr w:rsidR="00AF3865" w14:paraId="762780CB" w14:textId="77777777">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CC4CB0" w14:textId="77777777" w:rsidR="00AF3865" w:rsidRDefault="00AF3865">
                                                <w:pPr>
                                                  <w:pStyle w:val="NormalWeb"/>
                                                  <w:spacing w:before="0" w:beforeAutospacing="0" w:after="225" w:afterAutospacing="0"/>
                                                </w:pPr>
                                                <w:r>
                                                  <w:rPr>
                                                    <w:rStyle w:val="Strong"/>
                                                    <w:rFonts w:ascii="Calibri" w:hAnsi="Calibri" w:cs="Calibri"/>
                                                    <w:sz w:val="23"/>
                                                    <w:szCs w:val="23"/>
                                                  </w:rPr>
                                                  <w:t>Traffic Light coding-BOB</w:t>
                                                </w:r>
                                                <w:r>
                                                  <w:rPr>
                                                    <w:rFonts w:ascii="Calibri" w:hAnsi="Calibri" w:cs="Calibri"/>
                                                    <w:sz w:val="23"/>
                                                    <w:szCs w:val="23"/>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A6DF98" w14:textId="77777777" w:rsidR="00AF3865" w:rsidRDefault="00AF3865">
                                                <w:pPr>
                                                  <w:pStyle w:val="NormalWeb"/>
                                                  <w:spacing w:before="0" w:beforeAutospacing="0" w:after="225" w:afterAutospacing="0"/>
                                                </w:pPr>
                                                <w:r>
                                                  <w:rPr>
                                                    <w:rFonts w:ascii="Calibri" w:hAnsi="Calibri" w:cs="Calibri"/>
                                                    <w:sz w:val="23"/>
                                                    <w:szCs w:val="23"/>
                                                  </w:rPr>
                                                  <w:t>Green restricted</w:t>
                                                </w: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DC9406" w14:textId="77777777" w:rsidR="00AF3865" w:rsidRDefault="00AF3865">
                                                <w:pPr>
                                                  <w:pStyle w:val="NormalWeb"/>
                                                  <w:spacing w:before="0" w:beforeAutospacing="0" w:after="225" w:afterAutospacing="0"/>
                                                </w:pPr>
                                                <w:r>
                                                  <w:rPr>
                                                    <w:rFonts w:ascii="Calibri" w:hAnsi="Calibri" w:cs="Calibri"/>
                                                    <w:sz w:val="23"/>
                                                    <w:szCs w:val="23"/>
                                                  </w:rPr>
                                                  <w:t>Green restricted</w:t>
                                                </w:r>
                                                <w:r>
                                                  <w:t> </w:t>
                                                </w:r>
                                              </w:p>
                                            </w:tc>
                                          </w:tr>
                                          <w:tr w:rsidR="00AF3865" w14:paraId="491756CE" w14:textId="77777777">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84EB0C" w14:textId="77777777" w:rsidR="00AF3865" w:rsidRDefault="00AF3865">
                                                <w:pPr>
                                                  <w:pStyle w:val="NormalWeb"/>
                                                  <w:spacing w:before="0" w:beforeAutospacing="0" w:after="225" w:afterAutospacing="0"/>
                                                </w:pPr>
                                                <w:r>
                                                  <w:rPr>
                                                    <w:rStyle w:val="Strong"/>
                                                    <w:rFonts w:ascii="Calibri" w:hAnsi="Calibri" w:cs="Calibri"/>
                                                    <w:sz w:val="23"/>
                                                    <w:szCs w:val="23"/>
                                                  </w:rPr>
                                                  <w:t>Traffic Light coding-Frimley</w:t>
                                                </w:r>
                                                <w:r>
                                                  <w:rPr>
                                                    <w:rFonts w:ascii="Calibri" w:hAnsi="Calibri" w:cs="Calibri"/>
                                                    <w:sz w:val="23"/>
                                                    <w:szCs w:val="23"/>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3A1C93" w14:textId="77777777" w:rsidR="00AF3865" w:rsidRDefault="00AF3865">
                                                <w:pPr>
                                                  <w:pStyle w:val="NormalWeb"/>
                                                  <w:spacing w:before="0" w:beforeAutospacing="0" w:after="225" w:afterAutospacing="0"/>
                                                </w:pPr>
                                                <w:r>
                                                  <w:rPr>
                                                    <w:rFonts w:ascii="Calibri" w:hAnsi="Calibri" w:cs="Calibri"/>
                                                    <w:sz w:val="23"/>
                                                    <w:szCs w:val="23"/>
                                                  </w:rPr>
                                                  <w:t>Amber</w:t>
                                                </w: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671EDB" w14:textId="77777777" w:rsidR="00AF3865" w:rsidRDefault="00AF3865">
                                                <w:pPr>
                                                  <w:pStyle w:val="NormalWeb"/>
                                                  <w:spacing w:before="0" w:beforeAutospacing="0" w:after="225" w:afterAutospacing="0"/>
                                                </w:pPr>
                                                <w:r>
                                                  <w:rPr>
                                                    <w:rFonts w:ascii="Calibri" w:hAnsi="Calibri" w:cs="Calibri"/>
                                                    <w:sz w:val="23"/>
                                                    <w:szCs w:val="23"/>
                                                  </w:rPr>
                                                  <w:t>Amber</w:t>
                                                </w:r>
                                                <w:r>
                                                  <w:t> </w:t>
                                                </w:r>
                                              </w:p>
                                            </w:tc>
                                          </w:tr>
                                        </w:tbl>
                                        <w:p w14:paraId="1F69ECDD" w14:textId="77777777" w:rsidR="00AF3865" w:rsidRDefault="00AF3865">
                                          <w:pPr>
                                            <w:pStyle w:val="NormalWeb"/>
                                            <w:spacing w:before="0" w:beforeAutospacing="0" w:after="225" w:afterAutospacing="0"/>
                                          </w:pPr>
                                          <w:r>
                                            <w:rPr>
                                              <w:rStyle w:val="Strong"/>
                                              <w:rFonts w:ascii="Calibri" w:hAnsi="Calibri" w:cs="Calibri"/>
                                              <w:sz w:val="23"/>
                                              <w:szCs w:val="23"/>
                                            </w:rPr>
                                            <w:t>Actions for Practices: </w:t>
                                          </w:r>
                                          <w:r>
                                            <w:rPr>
                                              <w:rFonts w:ascii="Calibri" w:hAnsi="Calibri" w:cs="Calibri"/>
                                              <w:sz w:val="23"/>
                                              <w:szCs w:val="23"/>
                                            </w:rPr>
                                            <w:t> </w:t>
                                          </w:r>
                                        </w:p>
                                        <w:p w14:paraId="3DB0A477" w14:textId="77777777" w:rsidR="00AF3865" w:rsidRDefault="00AF3865">
                                          <w:pPr>
                                            <w:numPr>
                                              <w:ilvl w:val="0"/>
                                              <w:numId w:val="23"/>
                                            </w:numPr>
                                            <w:spacing w:after="100" w:afterAutospacing="1"/>
                                          </w:pPr>
                                          <w:r>
                                            <w:rPr>
                                              <w:rFonts w:ascii="Calibri" w:eastAsia="Times New Roman" w:hAnsi="Calibri" w:cs="Calibri"/>
                                              <w:sz w:val="23"/>
                                              <w:szCs w:val="23"/>
                                            </w:rPr>
                                            <w:t>To avoid a look alike sound alike error, please carefully read dietitian letters and double check the product name and volume prescribed matches the dietitian recommendation.</w:t>
                                          </w:r>
                                        </w:p>
                                        <w:p w14:paraId="3CA23C54" w14:textId="77777777" w:rsidR="00AF3865" w:rsidRDefault="00AF3865">
                                          <w:pPr>
                                            <w:numPr>
                                              <w:ilvl w:val="0"/>
                                              <w:numId w:val="23"/>
                                            </w:numPr>
                                            <w:spacing w:before="100" w:beforeAutospacing="1" w:after="100" w:afterAutospacing="1"/>
                                          </w:pPr>
                                          <w:r>
                                            <w:rPr>
                                              <w:rStyle w:val="Strong"/>
                                              <w:rFonts w:ascii="Calibri" w:eastAsia="Times New Roman" w:hAnsi="Calibri" w:cs="Calibri"/>
                                              <w:sz w:val="23"/>
                                              <w:szCs w:val="23"/>
                                            </w:rPr>
                                            <w:t>Please refer to the Adult ONS formulary for further information</w:t>
                                          </w:r>
                                          <w:r>
                                            <w:rPr>
                                              <w:rFonts w:ascii="Calibri" w:eastAsia="Times New Roman" w:hAnsi="Calibri" w:cs="Calibri"/>
                                              <w:sz w:val="23"/>
                                              <w:szCs w:val="23"/>
                                            </w:rPr>
                                            <w:t>: Frimley area </w:t>
                                          </w:r>
                                          <w:hyperlink r:id="rId37" w:tgtFrame="_blank" w:history="1">
                                            <w:r>
                                              <w:rPr>
                                                <w:rStyle w:val="Hyperlink"/>
                                                <w:color w:val="1D5782"/>
                                              </w:rPr>
                                              <w:t>here</w:t>
                                            </w:r>
                                          </w:hyperlink>
                                          <w:r>
                                            <w:t>, for Buckinghamshire, Oxfordshire and Berkshire West area </w:t>
                                          </w:r>
                                          <w:hyperlink r:id="rId38" w:tgtFrame="_blank" w:history="1">
                                            <w:r>
                                              <w:rPr>
                                                <w:rStyle w:val="Hyperlink"/>
                                                <w:color w:val="1D5782"/>
                                              </w:rPr>
                                              <w:t>here</w:t>
                                            </w:r>
                                          </w:hyperlink>
                                          <w:r>
                                            <w:t xml:space="preserve">.   </w:t>
                                          </w:r>
                                        </w:p>
                                        <w:p w14:paraId="36F126DA" w14:textId="77777777" w:rsidR="00AF3865" w:rsidRDefault="00AF3865">
                                          <w:pPr>
                                            <w:numPr>
                                              <w:ilvl w:val="0"/>
                                              <w:numId w:val="23"/>
                                            </w:numPr>
                                            <w:spacing w:before="100" w:beforeAutospacing="1" w:after="225"/>
                                          </w:pPr>
                                          <w:r>
                                            <w:rPr>
                                              <w:rFonts w:ascii="Calibri" w:eastAsia="Times New Roman" w:hAnsi="Calibri" w:cs="Calibri"/>
                                              <w:sz w:val="23"/>
                                              <w:szCs w:val="23"/>
                                            </w:rPr>
                                            <w:t>If you have any queries, please contact the Prescribing Dietitians via the Medicines Optimisation Team generic emails – East Berkshire use  </w:t>
                                          </w:r>
                                          <w:hyperlink r:id="rId39" w:tgtFrame="_blank" w:history="1">
                                            <w:r>
                                              <w:rPr>
                                                <w:rStyle w:val="Emphasis"/>
                                                <w:rFonts w:ascii="Calibri" w:hAnsi="Calibri" w:cs="Calibri"/>
                                                <w:color w:val="1D5782"/>
                                                <w:u w:val="single"/>
                                              </w:rPr>
                                              <w:t>frimleyicb.prescribing@nhs.net</w:t>
                                            </w:r>
                                          </w:hyperlink>
                                          <w:r>
                                            <w:t> or BOB  </w:t>
                                          </w:r>
                                          <w:hyperlink r:id="rId40" w:tgtFrame="_blank" w:history="1">
                                            <w:r>
                                              <w:rPr>
                                                <w:rStyle w:val="Emphasis"/>
                                                <w:rFonts w:ascii="Calibri" w:hAnsi="Calibri" w:cs="Calibri"/>
                                                <w:color w:val="1D5782"/>
                                                <w:u w:val="single"/>
                                              </w:rPr>
                                              <w:t>bobicb.medicines@nhs.net.</w:t>
                                            </w:r>
                                          </w:hyperlink>
                                          <w:r>
                                            <w:t xml:space="preserve">  </w:t>
                                          </w:r>
                                        </w:p>
                                        <w:tbl>
                                          <w:tblPr>
                                            <w:tblW w:w="5000" w:type="pct"/>
                                            <w:jc w:val="center"/>
                                            <w:tblCellMar>
                                              <w:left w:w="0" w:type="dxa"/>
                                              <w:right w:w="0" w:type="dxa"/>
                                            </w:tblCellMar>
                                            <w:tblLook w:val="04A0" w:firstRow="1" w:lastRow="0" w:firstColumn="1" w:lastColumn="0" w:noHBand="0" w:noVBand="1"/>
                                          </w:tblPr>
                                          <w:tblGrid>
                                            <w:gridCol w:w="8565"/>
                                          </w:tblGrid>
                                          <w:tr w:rsidR="00AF3865" w14:paraId="40C068B4" w14:textId="77777777">
                                            <w:trPr>
                                              <w:trHeight w:val="150"/>
                                              <w:jc w:val="center"/>
                                            </w:trPr>
                                            <w:tc>
                                              <w:tcPr>
                                                <w:tcW w:w="5000" w:type="pct"/>
                                                <w:vAlign w:val="center"/>
                                                <w:hideMark/>
                                              </w:tcPr>
                                              <w:p w14:paraId="5C6C45D8" w14:textId="61FD6988" w:rsidR="00AF3865" w:rsidRDefault="00AF3865">
                                                <w:pPr>
                                                  <w:rPr>
                                                    <w:rFonts w:eastAsia="Times New Roman"/>
                                                  </w:rPr>
                                                </w:pPr>
                                                <w:r>
                                                  <w:rPr>
                                                    <w:rFonts w:eastAsia="Times New Roman"/>
                                                    <w:noProof/>
                                                  </w:rPr>
                                                  <w:drawing>
                                                    <wp:inline distT="0" distB="0" distL="0" distR="0" wp14:anchorId="33F3F4B7" wp14:editId="3A7CD4D3">
                                                      <wp:extent cx="5731510" cy="98425"/>
                                                      <wp:effectExtent l="0" t="0" r="2540" b="15875"/>
                                                      <wp:docPr id="16795388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307D972F" w14:textId="77777777" w:rsidR="00AF3865" w:rsidRDefault="00AF3865">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8565"/>
                                          </w:tblGrid>
                                          <w:tr w:rsidR="00AF3865" w14:paraId="5938A71A" w14:textId="77777777">
                                            <w:trPr>
                                              <w:trHeight w:val="150"/>
                                              <w:jc w:val="center"/>
                                            </w:trPr>
                                            <w:tc>
                                              <w:tcPr>
                                                <w:tcW w:w="5000" w:type="pct"/>
                                                <w:vAlign w:val="center"/>
                                                <w:hideMark/>
                                              </w:tcPr>
                                              <w:p w14:paraId="5D1DBF16" w14:textId="1E1DACFF" w:rsidR="00AF3865" w:rsidRDefault="00AF3865">
                                                <w:pPr>
                                                  <w:rPr>
                                                    <w:rFonts w:eastAsia="Times New Roman"/>
                                                  </w:rPr>
                                                </w:pPr>
                                                <w:r>
                                                  <w:rPr>
                                                    <w:rFonts w:eastAsia="Times New Roman"/>
                                                    <w:noProof/>
                                                  </w:rPr>
                                                  <w:drawing>
                                                    <wp:inline distT="0" distB="0" distL="0" distR="0" wp14:anchorId="30FFF26A" wp14:editId="596BF833">
                                                      <wp:extent cx="5731510" cy="98425"/>
                                                      <wp:effectExtent l="0" t="0" r="2540" b="15875"/>
                                                      <wp:docPr id="15727627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6D6F70CD" w14:textId="77777777" w:rsidR="00AF3865" w:rsidRDefault="00AF3865">
                                          <w:pPr>
                                            <w:pStyle w:val="Heading1"/>
                                            <w:spacing w:before="161" w:after="300"/>
                                            <w:jc w:val="center"/>
                                            <w:rPr>
                                              <w:rFonts w:ascii="Calibri" w:eastAsia="Times New Roman" w:hAnsi="Calibri" w:cs="Calibri"/>
                                              <w:color w:val="003087"/>
                                              <w:sz w:val="53"/>
                                              <w:szCs w:val="53"/>
                                            </w:rPr>
                                          </w:pPr>
                                          <w:bookmarkStart w:id="2" w:name="link_5"/>
                                          <w:r>
                                            <w:rPr>
                                              <w:rFonts w:ascii="Calibri" w:eastAsia="Times New Roman" w:hAnsi="Calibri" w:cs="Calibri"/>
                                              <w:color w:val="003087"/>
                                              <w:sz w:val="53"/>
                                              <w:szCs w:val="53"/>
                                              <w:bdr w:val="none" w:sz="0" w:space="0" w:color="auto" w:frame="1"/>
                                            </w:rPr>
                                            <w:lastRenderedPageBreak/>
                                            <w:t xml:space="preserve">Place Updates </w:t>
                                          </w:r>
                                          <w:bookmarkEnd w:id="2"/>
                                        </w:p>
                                        <w:p w14:paraId="674758F0"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No updates for this edition.</w:t>
                                          </w:r>
                                        </w:p>
                                        <w:tbl>
                                          <w:tblPr>
                                            <w:tblW w:w="5000" w:type="pct"/>
                                            <w:jc w:val="center"/>
                                            <w:tblCellMar>
                                              <w:left w:w="0" w:type="dxa"/>
                                              <w:right w:w="0" w:type="dxa"/>
                                            </w:tblCellMar>
                                            <w:tblLook w:val="04A0" w:firstRow="1" w:lastRow="0" w:firstColumn="1" w:lastColumn="0" w:noHBand="0" w:noVBand="1"/>
                                          </w:tblPr>
                                          <w:tblGrid>
                                            <w:gridCol w:w="8565"/>
                                          </w:tblGrid>
                                          <w:tr w:rsidR="00AF3865" w14:paraId="2980788A" w14:textId="77777777">
                                            <w:trPr>
                                              <w:trHeight w:val="150"/>
                                              <w:jc w:val="center"/>
                                            </w:trPr>
                                            <w:tc>
                                              <w:tcPr>
                                                <w:tcW w:w="5000" w:type="pct"/>
                                                <w:vAlign w:val="center"/>
                                                <w:hideMark/>
                                              </w:tcPr>
                                              <w:p w14:paraId="372BE1C1" w14:textId="4F1F993A" w:rsidR="00AF3865" w:rsidRDefault="00AF3865">
                                                <w:pPr>
                                                  <w:rPr>
                                                    <w:rFonts w:eastAsia="Times New Roman"/>
                                                  </w:rPr>
                                                </w:pPr>
                                                <w:r>
                                                  <w:rPr>
                                                    <w:rFonts w:eastAsia="Times New Roman"/>
                                                    <w:noProof/>
                                                  </w:rPr>
                                                  <w:drawing>
                                                    <wp:inline distT="0" distB="0" distL="0" distR="0" wp14:anchorId="66038F7E" wp14:editId="622F6416">
                                                      <wp:extent cx="5731510" cy="98425"/>
                                                      <wp:effectExtent l="0" t="0" r="2540" b="15875"/>
                                                      <wp:docPr id="3585546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409D0E4A" w14:textId="77777777" w:rsidR="00AF3865" w:rsidRDefault="00AF3865">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8565"/>
                                          </w:tblGrid>
                                          <w:tr w:rsidR="00AF3865" w14:paraId="20AADE2F" w14:textId="77777777">
                                            <w:trPr>
                                              <w:trHeight w:val="150"/>
                                              <w:jc w:val="center"/>
                                            </w:trPr>
                                            <w:tc>
                                              <w:tcPr>
                                                <w:tcW w:w="5000" w:type="pct"/>
                                                <w:vAlign w:val="center"/>
                                                <w:hideMark/>
                                              </w:tcPr>
                                              <w:p w14:paraId="643A03A6" w14:textId="112033D9" w:rsidR="00AF3865" w:rsidRDefault="00AF3865">
                                                <w:pPr>
                                                  <w:rPr>
                                                    <w:rFonts w:eastAsia="Times New Roman"/>
                                                  </w:rPr>
                                                </w:pPr>
                                                <w:r>
                                                  <w:rPr>
                                                    <w:rFonts w:eastAsia="Times New Roman"/>
                                                    <w:noProof/>
                                                  </w:rPr>
                                                  <w:drawing>
                                                    <wp:inline distT="0" distB="0" distL="0" distR="0" wp14:anchorId="31A4BD73" wp14:editId="1202D132">
                                                      <wp:extent cx="5731510" cy="98425"/>
                                                      <wp:effectExtent l="0" t="0" r="2540" b="15875"/>
                                                      <wp:docPr id="8273133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561A739C" w14:textId="77777777" w:rsidR="00AF3865" w:rsidRDefault="00AF3865">
                                          <w:pPr>
                                            <w:pStyle w:val="Heading1"/>
                                            <w:spacing w:before="161" w:after="300"/>
                                            <w:jc w:val="center"/>
                                            <w:rPr>
                                              <w:rFonts w:ascii="Calibri" w:eastAsia="Times New Roman" w:hAnsi="Calibri" w:cs="Calibri"/>
                                              <w:color w:val="003087"/>
                                              <w:sz w:val="53"/>
                                              <w:szCs w:val="53"/>
                                            </w:rPr>
                                          </w:pPr>
                                          <w:bookmarkStart w:id="3" w:name="link_3"/>
                                          <w:r>
                                            <w:rPr>
                                              <w:rFonts w:ascii="Calibri" w:eastAsia="Times New Roman" w:hAnsi="Calibri" w:cs="Calibri"/>
                                              <w:color w:val="003087"/>
                                              <w:sz w:val="53"/>
                                              <w:szCs w:val="53"/>
                                              <w:bdr w:val="none" w:sz="0" w:space="0" w:color="auto" w:frame="1"/>
                                            </w:rPr>
                                            <w:t>Training, Meetings &amp; Resources</w:t>
                                          </w:r>
                                          <w:bookmarkEnd w:id="3"/>
                                        </w:p>
                                        <w:tbl>
                                          <w:tblPr>
                                            <w:tblW w:w="5000" w:type="pct"/>
                                            <w:jc w:val="center"/>
                                            <w:tblCellMar>
                                              <w:left w:w="0" w:type="dxa"/>
                                              <w:right w:w="0" w:type="dxa"/>
                                            </w:tblCellMar>
                                            <w:tblLook w:val="04A0" w:firstRow="1" w:lastRow="0" w:firstColumn="1" w:lastColumn="0" w:noHBand="0" w:noVBand="1"/>
                                          </w:tblPr>
                                          <w:tblGrid>
                                            <w:gridCol w:w="8565"/>
                                          </w:tblGrid>
                                          <w:tr w:rsidR="00AF3865" w14:paraId="4845BC9B" w14:textId="77777777">
                                            <w:trPr>
                                              <w:trHeight w:val="150"/>
                                              <w:jc w:val="center"/>
                                            </w:trPr>
                                            <w:tc>
                                              <w:tcPr>
                                                <w:tcW w:w="5000" w:type="pct"/>
                                                <w:vAlign w:val="center"/>
                                                <w:hideMark/>
                                              </w:tcPr>
                                              <w:p w14:paraId="4FD20CE6" w14:textId="5A17E054" w:rsidR="00AF3865" w:rsidRDefault="00AF3865">
                                                <w:pPr>
                                                  <w:rPr>
                                                    <w:rFonts w:eastAsia="Times New Roman"/>
                                                  </w:rPr>
                                                </w:pPr>
                                                <w:r>
                                                  <w:rPr>
                                                    <w:rFonts w:eastAsia="Times New Roman"/>
                                                    <w:noProof/>
                                                  </w:rPr>
                                                  <w:drawing>
                                                    <wp:inline distT="0" distB="0" distL="0" distR="0" wp14:anchorId="1804B51A" wp14:editId="133457C5">
                                                      <wp:extent cx="5731510" cy="98425"/>
                                                      <wp:effectExtent l="0" t="0" r="2540" b="15875"/>
                                                      <wp:docPr id="15814035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3661531C" w14:textId="77777777" w:rsidR="00AF3865" w:rsidRDefault="00AF3865">
                                          <w:pPr>
                                            <w:pStyle w:val="Heading3"/>
                                            <w:spacing w:before="240" w:after="255"/>
                                            <w:rPr>
                                              <w:rFonts w:ascii="Calibri" w:eastAsia="Times New Roman" w:hAnsi="Calibri" w:cs="Calibri"/>
                                              <w:sz w:val="38"/>
                                              <w:szCs w:val="38"/>
                                            </w:rPr>
                                          </w:pPr>
                                          <w:r>
                                            <w:rPr>
                                              <w:rStyle w:val="normaltextrun"/>
                                              <w:rFonts w:ascii="Calibri" w:eastAsia="Times New Roman" w:hAnsi="Calibri" w:cs="Calibri"/>
                                              <w:sz w:val="38"/>
                                              <w:szCs w:val="38"/>
                                            </w:rPr>
                                            <w:t>Denosumab in Practice: Key Updates for Primary &amp; Community Care (17</w:t>
                                          </w:r>
                                          <w:r>
                                            <w:rPr>
                                              <w:rStyle w:val="normaltextrun"/>
                                            </w:rPr>
                                            <w:t>th Sept’26)</w:t>
                                          </w:r>
                                          <w:r>
                                            <w:rPr>
                                              <w:rStyle w:val="eop"/>
                                              <w:rFonts w:ascii="Calibri" w:eastAsia="Times New Roman" w:hAnsi="Calibri" w:cs="Calibri"/>
                                              <w:sz w:val="38"/>
                                              <w:szCs w:val="38"/>
                                            </w:rPr>
                                            <w:t> </w:t>
                                          </w:r>
                                          <w:r>
                                            <w:rPr>
                                              <w:rFonts w:ascii="Calibri" w:eastAsia="Times New Roman" w:hAnsi="Calibri" w:cs="Calibri"/>
                                              <w:sz w:val="38"/>
                                              <w:szCs w:val="38"/>
                                            </w:rPr>
                                            <w:t xml:space="preserve"> </w:t>
                                          </w:r>
                                        </w:p>
                                        <w:p w14:paraId="4EBE39FB" w14:textId="77777777" w:rsidR="00AF3865" w:rsidRDefault="00AF3865">
                                          <w:pPr>
                                            <w:pStyle w:val="NormalWeb"/>
                                            <w:spacing w:before="0" w:beforeAutospacing="0" w:after="225" w:afterAutospacing="0"/>
                                          </w:pPr>
                                          <w:r>
                                            <w:rPr>
                                              <w:rFonts w:ascii="Calibri" w:hAnsi="Calibri" w:cs="Calibri"/>
                                              <w:sz w:val="23"/>
                                              <w:szCs w:val="23"/>
                                            </w:rPr>
                                            <w:t>Join the interactive virtual session to help primary and community care teams deliver safe, coordinated Denosumab care and improve local safety pathways.</w:t>
                                          </w:r>
                                          <w:r>
                                            <w:t> </w:t>
                                          </w:r>
                                        </w:p>
                                        <w:p w14:paraId="72C31FBB"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 </w:t>
                                          </w:r>
                                          <w:r>
                                            <w:rPr>
                                              <w:rStyle w:val="Strong"/>
                                              <w:rFonts w:ascii="Segoe UI Emoji" w:hAnsi="Segoe UI Emoji" w:cs="Segoe UI Emoji"/>
                                              <w:sz w:val="23"/>
                                              <w:szCs w:val="23"/>
                                            </w:rPr>
                                            <w:t>💉</w:t>
                                          </w:r>
                                          <w:r>
                                            <w:rPr>
                                              <w:rStyle w:val="Strong"/>
                                              <w:rFonts w:ascii="Calibri" w:hAnsi="Calibri" w:cs="Calibri"/>
                                              <w:sz w:val="23"/>
                                              <w:szCs w:val="23"/>
                                            </w:rPr>
                                            <w:t>Denosumab in Practice: Key Updates for Primary &amp; Community Care</w:t>
                                          </w:r>
                                          <w:r>
                                            <w:rPr>
                                              <w:rFonts w:ascii="Calibri" w:hAnsi="Calibri" w:cs="Calibri"/>
                                              <w:sz w:val="23"/>
                                              <w:szCs w:val="23"/>
                                            </w:rPr>
                                            <w:t> </w:t>
                                          </w:r>
                                        </w:p>
                                        <w:p w14:paraId="42A54910" w14:textId="77777777" w:rsidR="00AF3865" w:rsidRDefault="00AF3865">
                                          <w:pPr>
                                            <w:pStyle w:val="NormalWeb"/>
                                            <w:spacing w:before="0" w:beforeAutospacing="0" w:after="225" w:afterAutospacing="0"/>
                                            <w:rPr>
                                              <w:rFonts w:ascii="Calibri" w:hAnsi="Calibri" w:cs="Calibri"/>
                                              <w:sz w:val="23"/>
                                              <w:szCs w:val="23"/>
                                            </w:rPr>
                                          </w:pPr>
                                          <w:r>
                                            <w:rPr>
                                              <w:rStyle w:val="Strong"/>
                                              <w:rFonts w:ascii="Segoe UI Emoji" w:hAnsi="Segoe UI Emoji" w:cs="Segoe UI Emoji"/>
                                              <w:sz w:val="23"/>
                                              <w:szCs w:val="23"/>
                                            </w:rPr>
                                            <w:t>📆</w:t>
                                          </w:r>
                                          <w:r>
                                            <w:rPr>
                                              <w:rStyle w:val="Strong"/>
                                              <w:rFonts w:ascii="Calibri" w:hAnsi="Calibri" w:cs="Calibri"/>
                                              <w:sz w:val="23"/>
                                              <w:szCs w:val="23"/>
                                            </w:rPr>
                                            <w:t>Thursday 17 September</w:t>
                                          </w:r>
                                          <w:r>
                                            <w:rPr>
                                              <w:rFonts w:ascii="Calibri" w:hAnsi="Calibri" w:cs="Calibri"/>
                                              <w:sz w:val="23"/>
                                              <w:szCs w:val="23"/>
                                            </w:rPr>
                                            <w:t> </w:t>
                                          </w:r>
                                        </w:p>
                                        <w:p w14:paraId="59F0B5AA" w14:textId="77777777" w:rsidR="00AF3865" w:rsidRDefault="00AF3865">
                                          <w:pPr>
                                            <w:pStyle w:val="NormalWeb"/>
                                            <w:spacing w:before="0" w:beforeAutospacing="0" w:after="225" w:afterAutospacing="0"/>
                                            <w:rPr>
                                              <w:rFonts w:ascii="Calibri" w:hAnsi="Calibri" w:cs="Calibri"/>
                                              <w:sz w:val="23"/>
                                              <w:szCs w:val="23"/>
                                            </w:rPr>
                                          </w:pPr>
                                          <w:r>
                                            <w:rPr>
                                              <w:rStyle w:val="Strong"/>
                                              <w:rFonts w:ascii="Segoe UI Emoji" w:hAnsi="Segoe UI Emoji" w:cs="Segoe UI Emoji"/>
                                              <w:sz w:val="23"/>
                                              <w:szCs w:val="23"/>
                                            </w:rPr>
                                            <w:t>🕐</w:t>
                                          </w:r>
                                          <w:r>
                                            <w:rPr>
                                              <w:rStyle w:val="Strong"/>
                                              <w:rFonts w:ascii="Calibri" w:hAnsi="Calibri" w:cs="Calibri"/>
                                              <w:sz w:val="23"/>
                                              <w:szCs w:val="23"/>
                                            </w:rPr>
                                            <w:t>12:30 – 14:30</w:t>
                                          </w:r>
                                          <w:r>
                                            <w:rPr>
                                              <w:rFonts w:ascii="Calibri" w:hAnsi="Calibri" w:cs="Calibri"/>
                                              <w:sz w:val="23"/>
                                              <w:szCs w:val="23"/>
                                            </w:rPr>
                                            <w:t> </w:t>
                                          </w:r>
                                        </w:p>
                                        <w:p w14:paraId="02762636" w14:textId="77777777" w:rsidR="00AF3865" w:rsidRDefault="00AF3865">
                                          <w:pPr>
                                            <w:pStyle w:val="NormalWeb"/>
                                            <w:spacing w:before="0" w:beforeAutospacing="0" w:after="225" w:afterAutospacing="0"/>
                                            <w:rPr>
                                              <w:rFonts w:ascii="Calibri" w:hAnsi="Calibri" w:cs="Calibri"/>
                                              <w:sz w:val="23"/>
                                              <w:szCs w:val="23"/>
                                            </w:rPr>
                                          </w:pPr>
                                          <w:r>
                                            <w:rPr>
                                              <w:rStyle w:val="Strong"/>
                                              <w:rFonts w:ascii="Segoe UI Emoji" w:hAnsi="Segoe UI Emoji" w:cs="Segoe UI Emoji"/>
                                              <w:sz w:val="23"/>
                                              <w:szCs w:val="23"/>
                                            </w:rPr>
                                            <w:t>🌐</w:t>
                                          </w:r>
                                          <w:r>
                                            <w:rPr>
                                              <w:rStyle w:val="Strong"/>
                                              <w:rFonts w:ascii="Calibri" w:hAnsi="Calibri" w:cs="Calibri"/>
                                              <w:sz w:val="23"/>
                                              <w:szCs w:val="23"/>
                                            </w:rPr>
                                            <w:t xml:space="preserve">Online Registration: </w:t>
                                          </w:r>
                                          <w:hyperlink r:id="rId41" w:tgtFrame="_blank" w:tooltip="https://events.teams.microsoft.com/event/a1ae66ed-deed-4486-8fd8-430aff373055@37c354b2-85b0-47f5-b222-07b48d774ee3" w:history="1">
                                            <w:r>
                                              <w:rPr>
                                                <w:rStyle w:val="Hyperlink"/>
                                                <w:rFonts w:ascii="Calibri" w:hAnsi="Calibri" w:cs="Calibri"/>
                                                <w:b/>
                                                <w:bCs/>
                                                <w:color w:val="1D5782"/>
                                                <w:sz w:val="23"/>
                                                <w:szCs w:val="23"/>
                                              </w:rPr>
                                              <w:t>Denosumab in Practice: Key Updates for Primary &amp; Community Care</w:t>
                                            </w:r>
                                          </w:hyperlink>
                                        </w:p>
                                        <w:p w14:paraId="09A484DE" w14:textId="77777777" w:rsidR="00AF3865" w:rsidRDefault="00AF3865">
                                          <w:pPr>
                                            <w:pStyle w:val="NormalWeb"/>
                                            <w:spacing w:before="0" w:beforeAutospacing="0" w:after="225" w:afterAutospacing="0"/>
                                          </w:pPr>
                                          <w:r>
                                            <w:rPr>
                                              <w:rFonts w:ascii="Calibri" w:hAnsi="Calibri" w:cs="Calibri"/>
                                              <w:sz w:val="23"/>
                                              <w:szCs w:val="23"/>
                                            </w:rPr>
                                            <w:t>The agenda will include:</w:t>
                                          </w:r>
                                          <w:r>
                                            <w:t> </w:t>
                                          </w:r>
                                        </w:p>
                                        <w:p w14:paraId="0789E251" w14:textId="77777777" w:rsidR="00AF3865" w:rsidRDefault="00AF3865">
                                          <w:pPr>
                                            <w:numPr>
                                              <w:ilvl w:val="0"/>
                                              <w:numId w:val="24"/>
                                            </w:numPr>
                                            <w:spacing w:after="100" w:afterAutospacing="1"/>
                                          </w:pPr>
                                          <w:r>
                                            <w:rPr>
                                              <w:rFonts w:ascii="Calibri" w:eastAsia="Times New Roman" w:hAnsi="Calibri" w:cs="Calibri"/>
                                              <w:sz w:val="23"/>
                                              <w:szCs w:val="23"/>
                                            </w:rPr>
                                            <w:t>Patient experience and perspectives</w:t>
                                          </w:r>
                                          <w:r>
                                            <w:t xml:space="preserve">  </w:t>
                                          </w:r>
                                        </w:p>
                                        <w:p w14:paraId="4FBBE13B" w14:textId="77777777" w:rsidR="00AF3865" w:rsidRDefault="00AF3865">
                                          <w:pPr>
                                            <w:numPr>
                                              <w:ilvl w:val="0"/>
                                              <w:numId w:val="24"/>
                                            </w:numPr>
                                            <w:spacing w:before="100" w:beforeAutospacing="1" w:after="100" w:afterAutospacing="1"/>
                                          </w:pPr>
                                          <w:r>
                                            <w:rPr>
                                              <w:rFonts w:ascii="Calibri" w:eastAsia="Times New Roman" w:hAnsi="Calibri" w:cs="Calibri"/>
                                              <w:sz w:val="23"/>
                                              <w:szCs w:val="23"/>
                                            </w:rPr>
                                            <w:t>Overview of current Denosumab guidelines</w:t>
                                          </w:r>
                                        </w:p>
                                        <w:p w14:paraId="75BC7EA2" w14:textId="77777777" w:rsidR="00AF3865" w:rsidRDefault="00AF3865">
                                          <w:pPr>
                                            <w:numPr>
                                              <w:ilvl w:val="0"/>
                                              <w:numId w:val="24"/>
                                            </w:numPr>
                                            <w:spacing w:before="100" w:beforeAutospacing="1" w:after="100" w:afterAutospacing="1"/>
                                          </w:pPr>
                                          <w:r>
                                            <w:rPr>
                                              <w:rFonts w:ascii="Calibri" w:eastAsia="Times New Roman" w:hAnsi="Calibri" w:cs="Calibri"/>
                                              <w:sz w:val="23"/>
                                              <w:szCs w:val="23"/>
                                            </w:rPr>
                                            <w:t>P</w:t>
                                          </w:r>
                                          <w:r>
                                            <w:t xml:space="preserve">rimary and secondary prevention  </w:t>
                                          </w:r>
                                        </w:p>
                                        <w:p w14:paraId="5B52FCDE" w14:textId="77777777" w:rsidR="00AF3865" w:rsidRDefault="00AF3865">
                                          <w:pPr>
                                            <w:numPr>
                                              <w:ilvl w:val="0"/>
                                              <w:numId w:val="24"/>
                                            </w:numPr>
                                            <w:spacing w:before="100" w:beforeAutospacing="1" w:after="100" w:afterAutospacing="1"/>
                                          </w:pPr>
                                          <w:r>
                                            <w:rPr>
                                              <w:rFonts w:ascii="Calibri" w:eastAsia="Times New Roman" w:hAnsi="Calibri" w:cs="Calibri"/>
                                              <w:sz w:val="23"/>
                                              <w:szCs w:val="23"/>
                                            </w:rPr>
                                            <w:t>Denosumab Knowledge Hub overview</w:t>
                                          </w:r>
                                          <w:r>
                                            <w:t xml:space="preserve">  </w:t>
                                          </w:r>
                                        </w:p>
                                        <w:p w14:paraId="19BBBFC5" w14:textId="77777777" w:rsidR="00AF3865" w:rsidRDefault="00AF3865">
                                          <w:pPr>
                                            <w:numPr>
                                              <w:ilvl w:val="0"/>
                                              <w:numId w:val="24"/>
                                            </w:numPr>
                                            <w:spacing w:before="100" w:beforeAutospacing="1" w:after="100" w:afterAutospacing="1"/>
                                          </w:pPr>
                                          <w:r>
                                            <w:rPr>
                                              <w:rFonts w:ascii="Calibri" w:eastAsia="Times New Roman" w:hAnsi="Calibri" w:cs="Calibri"/>
                                              <w:sz w:val="23"/>
                                              <w:szCs w:val="23"/>
                                            </w:rPr>
                                            <w:t>End-to-end pathway (referral, initiation, follow-up, and transition planning)</w:t>
                                          </w:r>
                                          <w:r>
                                            <w:t xml:space="preserve">  </w:t>
                                          </w:r>
                                        </w:p>
                                        <w:p w14:paraId="52B8AA5A" w14:textId="77777777" w:rsidR="00AF3865" w:rsidRDefault="00AF3865">
                                          <w:pPr>
                                            <w:numPr>
                                              <w:ilvl w:val="0"/>
                                              <w:numId w:val="24"/>
                                            </w:numPr>
                                            <w:spacing w:before="100" w:beforeAutospacing="1" w:after="100" w:afterAutospacing="1"/>
                                          </w:pPr>
                                          <w:r>
                                            <w:rPr>
                                              <w:rFonts w:ascii="Calibri" w:eastAsia="Times New Roman" w:hAnsi="Calibri" w:cs="Calibri"/>
                                              <w:sz w:val="23"/>
                                              <w:szCs w:val="23"/>
                                            </w:rPr>
                                            <w:t>Primary care implementation example (recall systems)</w:t>
                                          </w:r>
                                          <w:r>
                                            <w:t xml:space="preserve">  </w:t>
                                          </w:r>
                                        </w:p>
                                        <w:p w14:paraId="116C2AF8" w14:textId="77777777" w:rsidR="00AF3865" w:rsidRDefault="00AF3865">
                                          <w:pPr>
                                            <w:numPr>
                                              <w:ilvl w:val="0"/>
                                              <w:numId w:val="24"/>
                                            </w:numPr>
                                            <w:spacing w:before="100" w:beforeAutospacing="1" w:after="225"/>
                                          </w:pPr>
                                          <w:r>
                                            <w:rPr>
                                              <w:rFonts w:ascii="Calibri" w:eastAsia="Times New Roman" w:hAnsi="Calibri" w:cs="Calibri"/>
                                              <w:sz w:val="23"/>
                                              <w:szCs w:val="23"/>
                                            </w:rPr>
                                            <w:t>Breakout sessions for local action planning</w:t>
                                          </w:r>
                                          <w:r>
                                            <w:t xml:space="preserve">  </w:t>
                                          </w:r>
                                        </w:p>
                                        <w:tbl>
                                          <w:tblPr>
                                            <w:tblW w:w="5000" w:type="pct"/>
                                            <w:jc w:val="center"/>
                                            <w:tblCellMar>
                                              <w:left w:w="0" w:type="dxa"/>
                                              <w:right w:w="0" w:type="dxa"/>
                                            </w:tblCellMar>
                                            <w:tblLook w:val="04A0" w:firstRow="1" w:lastRow="0" w:firstColumn="1" w:lastColumn="0" w:noHBand="0" w:noVBand="1"/>
                                          </w:tblPr>
                                          <w:tblGrid>
                                            <w:gridCol w:w="8565"/>
                                          </w:tblGrid>
                                          <w:tr w:rsidR="00AF3865" w14:paraId="44B1B68B" w14:textId="77777777">
                                            <w:trPr>
                                              <w:trHeight w:val="150"/>
                                              <w:jc w:val="center"/>
                                            </w:trPr>
                                            <w:tc>
                                              <w:tcPr>
                                                <w:tcW w:w="5000" w:type="pct"/>
                                                <w:vAlign w:val="center"/>
                                                <w:hideMark/>
                                              </w:tcPr>
                                              <w:p w14:paraId="7DB931A0" w14:textId="0AA35E71" w:rsidR="00AF3865" w:rsidRDefault="00AF3865">
                                                <w:pPr>
                                                  <w:rPr>
                                                    <w:rFonts w:eastAsia="Times New Roman"/>
                                                  </w:rPr>
                                                </w:pPr>
                                                <w:r>
                                                  <w:rPr>
                                                    <w:rFonts w:eastAsia="Times New Roman"/>
                                                    <w:noProof/>
                                                  </w:rPr>
                                                  <w:drawing>
                                                    <wp:inline distT="0" distB="0" distL="0" distR="0" wp14:anchorId="07A47580" wp14:editId="4E8CCD0E">
                                                      <wp:extent cx="5731510" cy="98425"/>
                                                      <wp:effectExtent l="0" t="0" r="2540" b="15875"/>
                                                      <wp:docPr id="1881210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70B4D03B" w14:textId="77777777" w:rsidR="00AF3865" w:rsidRDefault="00AF3865">
                                          <w:pPr>
                                            <w:pStyle w:val="Heading1"/>
                                            <w:spacing w:before="161" w:after="300"/>
                                            <w:jc w:val="center"/>
                                            <w:rPr>
                                              <w:rFonts w:ascii="Calibri" w:eastAsia="Times New Roman" w:hAnsi="Calibri" w:cs="Calibri"/>
                                              <w:color w:val="003087"/>
                                              <w:sz w:val="53"/>
                                              <w:szCs w:val="53"/>
                                            </w:rPr>
                                          </w:pPr>
                                          <w:bookmarkStart w:id="4" w:name="link_4"/>
                                          <w:r>
                                            <w:rPr>
                                              <w:rFonts w:ascii="Calibri" w:eastAsia="Times New Roman" w:hAnsi="Calibri" w:cs="Calibri"/>
                                              <w:color w:val="003087"/>
                                              <w:sz w:val="53"/>
                                              <w:szCs w:val="53"/>
                                              <w:bdr w:val="none" w:sz="0" w:space="0" w:color="auto" w:frame="1"/>
                                            </w:rPr>
                                            <w:t>Other news and information</w:t>
                                          </w:r>
                                          <w:bookmarkEnd w:id="4"/>
                                        </w:p>
                                        <w:tbl>
                                          <w:tblPr>
                                            <w:tblW w:w="5000" w:type="pct"/>
                                            <w:jc w:val="center"/>
                                            <w:tblCellMar>
                                              <w:left w:w="0" w:type="dxa"/>
                                              <w:right w:w="0" w:type="dxa"/>
                                            </w:tblCellMar>
                                            <w:tblLook w:val="04A0" w:firstRow="1" w:lastRow="0" w:firstColumn="1" w:lastColumn="0" w:noHBand="0" w:noVBand="1"/>
                                          </w:tblPr>
                                          <w:tblGrid>
                                            <w:gridCol w:w="8565"/>
                                          </w:tblGrid>
                                          <w:tr w:rsidR="00AF3865" w14:paraId="571BFCDC" w14:textId="77777777">
                                            <w:trPr>
                                              <w:trHeight w:val="150"/>
                                              <w:jc w:val="center"/>
                                            </w:trPr>
                                            <w:tc>
                                              <w:tcPr>
                                                <w:tcW w:w="5000" w:type="pct"/>
                                                <w:vAlign w:val="center"/>
                                                <w:hideMark/>
                                              </w:tcPr>
                                              <w:p w14:paraId="63A54A30" w14:textId="2D5E82B6" w:rsidR="00AF3865" w:rsidRDefault="00AF3865">
                                                <w:pPr>
                                                  <w:rPr>
                                                    <w:rFonts w:eastAsia="Times New Roman"/>
                                                  </w:rPr>
                                                </w:pPr>
                                                <w:r>
                                                  <w:rPr>
                                                    <w:rFonts w:eastAsia="Times New Roman"/>
                                                    <w:noProof/>
                                                  </w:rPr>
                                                  <w:drawing>
                                                    <wp:inline distT="0" distB="0" distL="0" distR="0" wp14:anchorId="4B3C54D0" wp14:editId="76CCE448">
                                                      <wp:extent cx="5731510" cy="98425"/>
                                                      <wp:effectExtent l="0" t="0" r="2540" b="15875"/>
                                                      <wp:docPr id="36467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98425"/>
                                                              </a:xfrm>
                                                              <a:prstGeom prst="rect">
                                                                <a:avLst/>
                                                              </a:prstGeom>
                                                              <a:noFill/>
                                                              <a:ln>
                                                                <a:noFill/>
                                                              </a:ln>
                                                            </pic:spPr>
                                                          </pic:pic>
                                                        </a:graphicData>
                                                      </a:graphic>
                                                    </wp:inline>
                                                  </w:drawing>
                                                </w:r>
                                              </w:p>
                                            </w:tc>
                                          </w:tr>
                                        </w:tbl>
                                        <w:p w14:paraId="67C07390" w14:textId="77777777" w:rsidR="00AF3865" w:rsidRDefault="00AF3865">
                                          <w:pPr>
                                            <w:pStyle w:val="Heading3"/>
                                            <w:spacing w:before="240" w:after="255"/>
                                            <w:rPr>
                                              <w:rFonts w:ascii="Calibri" w:eastAsia="Times New Roman" w:hAnsi="Calibri" w:cs="Calibri"/>
                                              <w:sz w:val="38"/>
                                              <w:szCs w:val="38"/>
                                            </w:rPr>
                                          </w:pPr>
                                          <w:r>
                                            <w:rPr>
                                              <w:rStyle w:val="Strong"/>
                                              <w:rFonts w:ascii="Calibri" w:eastAsia="Times New Roman" w:hAnsi="Calibri" w:cs="Calibri"/>
                                              <w:b w:val="0"/>
                                              <w:bCs w:val="0"/>
                                              <w:sz w:val="38"/>
                                              <w:szCs w:val="38"/>
                                            </w:rPr>
                                            <w:lastRenderedPageBreak/>
                                            <w:t>Specialist Pharmacy Service (SPS) &amp; Serious Shortage Protocols (SSPs).</w:t>
                                          </w:r>
                                        </w:p>
                                        <w:p w14:paraId="5D1E4DE0"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 xml:space="preserve">Register for free access to the </w:t>
                                          </w:r>
                                          <w:hyperlink r:id="rId42" w:history="1">
                                            <w:r>
                                              <w:rPr>
                                                <w:rStyle w:val="Strong"/>
                                                <w:rFonts w:ascii="Calibri" w:hAnsi="Calibri" w:cs="Calibri"/>
                                                <w:color w:val="1D5782"/>
                                                <w:sz w:val="23"/>
                                                <w:szCs w:val="23"/>
                                                <w:u w:val="single"/>
                                              </w:rPr>
                                              <w:t>SPS website</w:t>
                                            </w:r>
                                          </w:hyperlink>
                                          <w:r>
                                            <w:rPr>
                                              <w:rFonts w:ascii="Calibri" w:hAnsi="Calibri" w:cs="Calibri"/>
                                              <w:sz w:val="23"/>
                                              <w:szCs w:val="23"/>
                                            </w:rPr>
                                            <w:t xml:space="preserve"> and to access the </w:t>
                                          </w:r>
                                          <w:hyperlink r:id="rId43" w:history="1">
                                            <w:r>
                                              <w:rPr>
                                                <w:rStyle w:val="Strong"/>
                                                <w:rFonts w:ascii="Calibri" w:hAnsi="Calibri" w:cs="Calibri"/>
                                                <w:color w:val="1D5782"/>
                                                <w:sz w:val="23"/>
                                                <w:szCs w:val="23"/>
                                                <w:u w:val="single"/>
                                              </w:rPr>
                                              <w:t>SPS Medicines Supply tool</w:t>
                                            </w:r>
                                          </w:hyperlink>
                                          <w:r>
                                            <w:rPr>
                                              <w:rFonts w:ascii="Calibri" w:hAnsi="Calibri" w:cs="Calibri"/>
                                              <w:sz w:val="23"/>
                                              <w:szCs w:val="23"/>
                                            </w:rPr>
                                            <w:t xml:space="preserve"> for the most up-to-date information and advice available.</w:t>
                                          </w:r>
                                        </w:p>
                                        <w:p w14:paraId="6E9E8029" w14:textId="77777777" w:rsidR="00AF3865" w:rsidRDefault="00AF3865">
                                          <w:pPr>
                                            <w:pStyle w:val="NormalWeb"/>
                                            <w:spacing w:before="0" w:beforeAutospacing="0" w:after="225" w:afterAutospacing="0"/>
                                            <w:rPr>
                                              <w:rFonts w:ascii="Calibri" w:hAnsi="Calibri" w:cs="Calibri"/>
                                              <w:sz w:val="23"/>
                                              <w:szCs w:val="23"/>
                                            </w:rPr>
                                          </w:pPr>
                                          <w:r>
                                            <w:rPr>
                                              <w:rStyle w:val="Strong"/>
                                              <w:rFonts w:ascii="Calibri" w:hAnsi="Calibri" w:cs="Calibri"/>
                                              <w:sz w:val="23"/>
                                              <w:szCs w:val="23"/>
                                            </w:rPr>
                                            <w:t>Serious Shortage Protocols (SSPs)</w:t>
                                          </w:r>
                                          <w:r>
                                            <w:rPr>
                                              <w:rFonts w:ascii="Calibri" w:hAnsi="Calibri" w:cs="Calibri"/>
                                              <w:sz w:val="23"/>
                                              <w:szCs w:val="23"/>
                                            </w:rPr>
                                            <w:t xml:space="preserve"> can be found on the NHSBSA website </w:t>
                                          </w:r>
                                          <w:hyperlink r:id="rId44" w:history="1">
                                            <w:r>
                                              <w:rPr>
                                                <w:rStyle w:val="Strong"/>
                                                <w:rFonts w:ascii="Calibri" w:hAnsi="Calibri" w:cs="Calibri"/>
                                                <w:color w:val="1D5782"/>
                                                <w:sz w:val="23"/>
                                                <w:szCs w:val="23"/>
                                                <w:u w:val="single"/>
                                              </w:rPr>
                                              <w:t>here. </w:t>
                                            </w:r>
                                          </w:hyperlink>
                                          <w:r>
                                            <w:rPr>
                                              <w:rFonts w:ascii="Calibri" w:hAnsi="Calibri" w:cs="Calibri"/>
                                              <w:sz w:val="23"/>
                                              <w:szCs w:val="23"/>
                                            </w:rPr>
                                            <w:t>Queries regarding the SSPs should be directed to the NHS Prescription Service:</w:t>
                                          </w:r>
                                        </w:p>
                                        <w:p w14:paraId="51A7936A"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 xml:space="preserve">Email: </w:t>
                                          </w:r>
                                          <w:hyperlink r:id="rId45" w:history="1">
                                            <w:r>
                                              <w:rPr>
                                                <w:rStyle w:val="Strong"/>
                                                <w:rFonts w:ascii="Calibri" w:hAnsi="Calibri" w:cs="Calibri"/>
                                                <w:color w:val="1D5782"/>
                                                <w:sz w:val="23"/>
                                                <w:szCs w:val="23"/>
                                                <w:u w:val="single"/>
                                              </w:rPr>
                                              <w:t>nhsbsa.prescriptionservices@nhsbsa.nhs.uk </w:t>
                                            </w:r>
                                          </w:hyperlink>
                                        </w:p>
                                        <w:p w14:paraId="24CF205A"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Telephone: 0300 330 1349 or Textphone: 18001 0300 330 1349</w:t>
                                          </w:r>
                                        </w:p>
                                        <w:p w14:paraId="3918E42D" w14:textId="77777777" w:rsidR="00AF3865" w:rsidRDefault="00AF3865">
                                          <w:pPr>
                                            <w:pStyle w:val="Heading3"/>
                                            <w:spacing w:before="0" w:after="255"/>
                                            <w:rPr>
                                              <w:rFonts w:ascii="Calibri" w:eastAsia="Times New Roman" w:hAnsi="Calibri" w:cs="Calibri"/>
                                              <w:sz w:val="38"/>
                                              <w:szCs w:val="38"/>
                                            </w:rPr>
                                          </w:pPr>
                                          <w:r>
                                            <w:rPr>
                                              <w:rFonts w:ascii="Calibri" w:eastAsia="Times New Roman" w:hAnsi="Calibri" w:cs="Calibri"/>
                                              <w:sz w:val="38"/>
                                              <w:szCs w:val="38"/>
                                            </w:rPr>
                                            <w:t>CD Reporting &amp; Contacts </w:t>
                                          </w:r>
                                        </w:p>
                                        <w:p w14:paraId="0AF67721"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 xml:space="preserve">For reporting concerns or incidents relating to Controlled Drugs, kindly do so via the </w:t>
                                          </w:r>
                                          <w:hyperlink r:id="rId46" w:history="1">
                                            <w:r>
                                              <w:rPr>
                                                <w:rStyle w:val="Strong"/>
                                                <w:rFonts w:ascii="Calibri" w:hAnsi="Calibri" w:cs="Calibri"/>
                                                <w:color w:val="1D5782"/>
                                                <w:sz w:val="23"/>
                                                <w:szCs w:val="23"/>
                                                <w:u w:val="single"/>
                                              </w:rPr>
                                              <w:t>CD Reporting Portal</w:t>
                                            </w:r>
                                          </w:hyperlink>
                                          <w:r>
                                            <w:rPr>
                                              <w:rStyle w:val="Strong"/>
                                              <w:rFonts w:ascii="Calibri" w:hAnsi="Calibri" w:cs="Calibri"/>
                                              <w:sz w:val="23"/>
                                              <w:szCs w:val="23"/>
                                            </w:rPr>
                                            <w:t>.</w:t>
                                          </w:r>
                                        </w:p>
                                        <w:p w14:paraId="2C44EC3B"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The Controlled Drugs Accountable Officer for the Southeast is Julie McCann &amp; can be contacted for advice via </w:t>
                                          </w:r>
                                          <w:hyperlink r:id="rId47" w:history="1">
                                            <w:r>
                                              <w:rPr>
                                                <w:rStyle w:val="Strong"/>
                                                <w:rFonts w:ascii="Calibri" w:hAnsi="Calibri" w:cs="Calibri"/>
                                                <w:color w:val="1D5782"/>
                                                <w:sz w:val="23"/>
                                                <w:szCs w:val="23"/>
                                                <w:u w:val="single"/>
                                              </w:rPr>
                                              <w:t>england.southeastcdao@nhs.net</w:t>
                                            </w:r>
                                          </w:hyperlink>
                                        </w:p>
                                        <w:p w14:paraId="6B275299" w14:textId="77777777" w:rsidR="00AF3865" w:rsidRDefault="00AF3865">
                                          <w:pPr>
                                            <w:pStyle w:val="Heading3"/>
                                            <w:spacing w:before="0" w:after="255"/>
                                            <w:rPr>
                                              <w:rFonts w:ascii="Calibri" w:eastAsia="Times New Roman" w:hAnsi="Calibri" w:cs="Calibri"/>
                                              <w:sz w:val="38"/>
                                              <w:szCs w:val="38"/>
                                            </w:rPr>
                                          </w:pPr>
                                          <w:r>
                                            <w:rPr>
                                              <w:rStyle w:val="normaltextrun"/>
                                              <w:rFonts w:ascii="Calibri" w:eastAsia="Times New Roman" w:hAnsi="Calibri" w:cs="Calibri"/>
                                              <w:sz w:val="38"/>
                                              <w:szCs w:val="38"/>
                                            </w:rPr>
                                            <w:t>Update Practice &amp; Prescriber Data </w:t>
                                          </w:r>
                                        </w:p>
                                        <w:p w14:paraId="5E989624" w14:textId="77777777" w:rsidR="00AF3865" w:rsidRDefault="00AF3865">
                                          <w:pPr>
                                            <w:pStyle w:val="NormalWeb"/>
                                            <w:spacing w:before="0" w:beforeAutospacing="0" w:after="225" w:afterAutospacing="0"/>
                                            <w:rPr>
                                              <w:rFonts w:ascii="Calibri" w:hAnsi="Calibri" w:cs="Calibri"/>
                                              <w:sz w:val="23"/>
                                              <w:szCs w:val="23"/>
                                            </w:rPr>
                                          </w:pPr>
                                          <w:r>
                                            <w:rPr>
                                              <w:rFonts w:ascii="Calibri" w:hAnsi="Calibri" w:cs="Calibri"/>
                                              <w:sz w:val="23"/>
                                              <w:szCs w:val="23"/>
                                            </w:rPr>
                                            <w:t>To ensure accurate prescribing costs, GP practices must immediately notify their Integrated Care Board (ICB) of any organisational or prescriber changes, including new joiners or leavers, personal details updates, or practice relocations. For assistance, visit the </w:t>
                                          </w:r>
                                          <w:hyperlink r:id="rId48" w:tgtFrame="_blank" w:history="1">
                                            <w:r>
                                              <w:rPr>
                                                <w:rStyle w:val="Hyperlink"/>
                                                <w:rFonts w:ascii="Calibri" w:hAnsi="Calibri" w:cs="Calibri"/>
                                                <w:color w:val="1D5782"/>
                                                <w:sz w:val="23"/>
                                                <w:szCs w:val="23"/>
                                              </w:rPr>
                                              <w:t>NHSBSA website</w:t>
                                            </w:r>
                                          </w:hyperlink>
                                          <w:r>
                                            <w:rPr>
                                              <w:rFonts w:ascii="Calibri" w:hAnsi="Calibri" w:cs="Calibri"/>
                                              <w:sz w:val="23"/>
                                              <w:szCs w:val="23"/>
                                            </w:rPr>
                                            <w:t> or contact </w:t>
                                          </w:r>
                                          <w:hyperlink r:id="rId49" w:tgtFrame="_blank" w:history="1">
                                            <w:r>
                                              <w:rPr>
                                                <w:rStyle w:val="Hyperlink"/>
                                                <w:rFonts w:ascii="Calibri" w:hAnsi="Calibri" w:cs="Calibri"/>
                                                <w:color w:val="1D5782"/>
                                                <w:sz w:val="23"/>
                                                <w:szCs w:val="23"/>
                                              </w:rPr>
                                              <w:t>bobicb.medicines@nhs.net</w:t>
                                            </w:r>
                                          </w:hyperlink>
                                          <w:r>
                                            <w:rPr>
                                              <w:rFonts w:ascii="Calibri" w:hAnsi="Calibri" w:cs="Calibri"/>
                                              <w:sz w:val="23"/>
                                              <w:szCs w:val="23"/>
                                            </w:rPr>
                                            <w:t xml:space="preserve"> and </w:t>
                                          </w:r>
                                          <w:hyperlink r:id="rId50" w:tgtFrame="_blank" w:history="1">
                                            <w:r>
                                              <w:rPr>
                                                <w:rStyle w:val="Hyperlink"/>
                                                <w:rFonts w:ascii="Calibri" w:hAnsi="Calibri" w:cs="Calibri"/>
                                                <w:color w:val="1D5782"/>
                                                <w:sz w:val="23"/>
                                                <w:szCs w:val="23"/>
                                              </w:rPr>
                                              <w:t>frimleyicb.prescribing@nhs.net</w:t>
                                            </w:r>
                                          </w:hyperlink>
                                          <w:r>
                                            <w:rPr>
                                              <w:rFonts w:ascii="Calibri" w:hAnsi="Calibri" w:cs="Calibri"/>
                                              <w:sz w:val="23"/>
                                              <w:szCs w:val="23"/>
                                            </w:rPr>
                                            <w:t> </w:t>
                                          </w:r>
                                        </w:p>
                                        <w:p w14:paraId="1EC4C5E9" w14:textId="77777777" w:rsidR="00AF3865" w:rsidRDefault="00AF3865">
                                          <w:pPr>
                                            <w:pStyle w:val="NormalWeb"/>
                                            <w:spacing w:before="0" w:beforeAutospacing="0" w:after="225" w:afterAutospacing="0"/>
                                          </w:pPr>
                                          <w:r>
                                            <w:rPr>
                                              <w:rStyle w:val="Strong"/>
                                              <w:rFonts w:ascii="Calibri" w:hAnsi="Calibri" w:cs="Calibri"/>
                                              <w:sz w:val="23"/>
                                              <w:szCs w:val="23"/>
                                            </w:rPr>
                                            <w:t>Steps to Submit Changes:</w:t>
                                          </w:r>
                                          <w:r>
                                            <w:rPr>
                                              <w:rFonts w:ascii="Calibri" w:hAnsi="Calibri" w:cs="Calibri"/>
                                              <w:sz w:val="23"/>
                                              <w:szCs w:val="23"/>
                                            </w:rPr>
                                            <w:t> </w:t>
                                          </w:r>
                                        </w:p>
                                        <w:p w14:paraId="7DE94585" w14:textId="77777777" w:rsidR="00AF3865" w:rsidRDefault="00AF3865">
                                          <w:pPr>
                                            <w:pStyle w:val="NormalWeb"/>
                                            <w:spacing w:before="0" w:beforeAutospacing="0" w:after="225" w:afterAutospacing="0"/>
                                          </w:pPr>
                                          <w:r>
                                            <w:rPr>
                                              <w:rFonts w:ascii="Calibri" w:hAnsi="Calibri" w:cs="Calibri"/>
                                              <w:sz w:val="23"/>
                                              <w:szCs w:val="23"/>
                                            </w:rPr>
                                            <w:t>Complete the appropriate form via </w:t>
                                          </w:r>
                                          <w:hyperlink r:id="rId51" w:tgtFrame="_blank" w:history="1">
                                            <w:r>
                                              <w:rPr>
                                                <w:rStyle w:val="Strong"/>
                                                <w:rFonts w:ascii="Calibri" w:hAnsi="Calibri" w:cs="Calibri"/>
                                                <w:color w:val="1D5782"/>
                                                <w:u w:val="single"/>
                                              </w:rPr>
                                              <w:t>Organisation and Prescriber Change Forms</w:t>
                                            </w:r>
                                          </w:hyperlink>
                                          <w:r>
                                            <w:t xml:space="preserve"> from the NHSBSA website and send them to </w:t>
                                          </w:r>
                                          <w:hyperlink r:id="rId52" w:tgtFrame="_blank" w:history="1">
                                            <w:r>
                                              <w:rPr>
                                                <w:rStyle w:val="Strong"/>
                                                <w:rFonts w:ascii="Calibri" w:hAnsi="Calibri" w:cs="Calibri"/>
                                                <w:color w:val="1D5782"/>
                                                <w:u w:val="single"/>
                                              </w:rPr>
                                              <w:t>bobicb.medicines@nhs.net</w:t>
                                            </w:r>
                                          </w:hyperlink>
                                          <w:r>
                                            <w:t xml:space="preserve">  or </w:t>
                                          </w:r>
                                          <w:hyperlink r:id="rId53" w:tgtFrame="_blank" w:history="1">
                                            <w:r>
                                              <w:rPr>
                                                <w:rStyle w:val="Strong"/>
                                                <w:rFonts w:ascii="Calibri" w:hAnsi="Calibri" w:cs="Calibri"/>
                                                <w:color w:val="1D5782"/>
                                                <w:u w:val="single"/>
                                              </w:rPr>
                                              <w:t>frimleyicb.prescribing@nhs.net</w:t>
                                            </w:r>
                                          </w:hyperlink>
                                          <w:r>
                                            <w:t> respectively for authorisation &amp; recording with NHSBSA. Update your internal systems with the new prescriber codes after confirmation. </w:t>
                                          </w:r>
                                        </w:p>
                                        <w:p w14:paraId="69131C98" w14:textId="38D515ED" w:rsidR="00AF3865" w:rsidRDefault="00AF3865">
                                          <w:pPr>
                                            <w:pStyle w:val="NormalWeb"/>
                                            <w:spacing w:before="0" w:beforeAutospacing="0" w:after="225" w:afterAutospacing="0"/>
                                            <w:jc w:val="center"/>
                                            <w:rPr>
                                              <w:rFonts w:ascii="Calibri" w:hAnsi="Calibri" w:cs="Calibri"/>
                                              <w:sz w:val="23"/>
                                              <w:szCs w:val="23"/>
                                            </w:rPr>
                                          </w:pPr>
                                        </w:p>
                                      </w:tc>
                                    </w:tr>
                                  </w:tbl>
                                  <w:p w14:paraId="452E1519" w14:textId="77777777" w:rsidR="00AF3865" w:rsidRDefault="00AF3865">
                                    <w:pPr>
                                      <w:jc w:val="center"/>
                                      <w:rPr>
                                        <w:rFonts w:ascii="Times New Roman" w:eastAsia="Times New Roman" w:hAnsi="Times New Roman" w:cs="Times New Roman"/>
                                        <w:sz w:val="20"/>
                                        <w:szCs w:val="20"/>
                                      </w:rPr>
                                    </w:pPr>
                                  </w:p>
                                </w:tc>
                              </w:tr>
                            </w:tbl>
                            <w:p w14:paraId="68266806" w14:textId="77777777" w:rsidR="00AF3865" w:rsidRDefault="00AF3865">
                              <w:pPr>
                                <w:jc w:val="center"/>
                                <w:rPr>
                                  <w:rFonts w:ascii="Times New Roman" w:eastAsia="Times New Roman" w:hAnsi="Times New Roman" w:cs="Times New Roman"/>
                                  <w:sz w:val="20"/>
                                  <w:szCs w:val="20"/>
                                </w:rPr>
                              </w:pPr>
                            </w:p>
                          </w:tc>
                        </w:tr>
                      </w:tbl>
                      <w:p w14:paraId="3835F788" w14:textId="77777777" w:rsidR="00AF3865" w:rsidRDefault="00AF3865">
                        <w:pPr>
                          <w:jc w:val="center"/>
                          <w:rPr>
                            <w:rFonts w:ascii="Times New Roman" w:eastAsia="Times New Roman" w:hAnsi="Times New Roman" w:cs="Times New Roman"/>
                            <w:sz w:val="20"/>
                            <w:szCs w:val="20"/>
                          </w:rPr>
                        </w:pPr>
                      </w:p>
                    </w:tc>
                  </w:tr>
                </w:tbl>
                <w:p w14:paraId="28CF931C" w14:textId="77777777" w:rsidR="00AF3865" w:rsidRDefault="00AF3865">
                  <w:pPr>
                    <w:jc w:val="center"/>
                    <w:rPr>
                      <w:rFonts w:ascii="Times New Roman" w:eastAsia="Times New Roman" w:hAnsi="Times New Roman" w:cs="Times New Roman"/>
                      <w:sz w:val="20"/>
                      <w:szCs w:val="20"/>
                    </w:rPr>
                  </w:pPr>
                </w:p>
              </w:tc>
              <w:tc>
                <w:tcPr>
                  <w:tcW w:w="0" w:type="auto"/>
                  <w:vAlign w:val="center"/>
                  <w:hideMark/>
                </w:tcPr>
                <w:p w14:paraId="3E4B6BF8" w14:textId="77777777" w:rsidR="00AF3865" w:rsidRDefault="00AF3865">
                  <w:pPr>
                    <w:rPr>
                      <w:rFonts w:ascii="Times New Roman" w:eastAsia="Times New Roman" w:hAnsi="Times New Roman" w:cs="Times New Roman"/>
                      <w:sz w:val="20"/>
                      <w:szCs w:val="20"/>
                    </w:rPr>
                  </w:pPr>
                </w:p>
              </w:tc>
            </w:tr>
          </w:tbl>
          <w:p w14:paraId="535D2F82" w14:textId="77777777" w:rsidR="00AF3865" w:rsidRDefault="00AF3865">
            <w:pPr>
              <w:jc w:val="center"/>
              <w:rPr>
                <w:rFonts w:ascii="Times New Roman" w:eastAsia="Times New Roman" w:hAnsi="Times New Roman" w:cs="Times New Roman"/>
                <w:sz w:val="20"/>
                <w:szCs w:val="20"/>
              </w:rPr>
            </w:pPr>
          </w:p>
        </w:tc>
      </w:tr>
    </w:tbl>
    <w:p w14:paraId="1B1EF13F" w14:textId="77777777" w:rsidR="0088228F" w:rsidRDefault="0088228F"/>
    <w:sectPr w:rsidR="00882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64"/>
    <w:multiLevelType w:val="multilevel"/>
    <w:tmpl w:val="EB247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0558E"/>
    <w:multiLevelType w:val="multilevel"/>
    <w:tmpl w:val="F9C0F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85A7D"/>
    <w:multiLevelType w:val="multilevel"/>
    <w:tmpl w:val="88D4A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85F39"/>
    <w:multiLevelType w:val="multilevel"/>
    <w:tmpl w:val="9446B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47B0D"/>
    <w:multiLevelType w:val="multilevel"/>
    <w:tmpl w:val="0ECAD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D053A"/>
    <w:multiLevelType w:val="multilevel"/>
    <w:tmpl w:val="73DE7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73F2E"/>
    <w:multiLevelType w:val="multilevel"/>
    <w:tmpl w:val="1E90C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742CA"/>
    <w:multiLevelType w:val="multilevel"/>
    <w:tmpl w:val="FA4A9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B36861"/>
    <w:multiLevelType w:val="multilevel"/>
    <w:tmpl w:val="4D04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57D55"/>
    <w:multiLevelType w:val="multilevel"/>
    <w:tmpl w:val="051E8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4339C9"/>
    <w:multiLevelType w:val="multilevel"/>
    <w:tmpl w:val="494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A17603"/>
    <w:multiLevelType w:val="multilevel"/>
    <w:tmpl w:val="4678C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E359AC"/>
    <w:multiLevelType w:val="multilevel"/>
    <w:tmpl w:val="C66EE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95183"/>
    <w:multiLevelType w:val="multilevel"/>
    <w:tmpl w:val="B3241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C2094"/>
    <w:multiLevelType w:val="multilevel"/>
    <w:tmpl w:val="1A1C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C52EE8"/>
    <w:multiLevelType w:val="multilevel"/>
    <w:tmpl w:val="90E64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BC356B"/>
    <w:multiLevelType w:val="multilevel"/>
    <w:tmpl w:val="10062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421FBE"/>
    <w:multiLevelType w:val="multilevel"/>
    <w:tmpl w:val="DBDAE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4417A3"/>
    <w:multiLevelType w:val="multilevel"/>
    <w:tmpl w:val="100E5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4E27CE"/>
    <w:multiLevelType w:val="multilevel"/>
    <w:tmpl w:val="9B0EF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C177FA"/>
    <w:multiLevelType w:val="multilevel"/>
    <w:tmpl w:val="18FE4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AC5193"/>
    <w:multiLevelType w:val="multilevel"/>
    <w:tmpl w:val="69740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17D09"/>
    <w:multiLevelType w:val="multilevel"/>
    <w:tmpl w:val="4724C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1063FC"/>
    <w:multiLevelType w:val="multilevel"/>
    <w:tmpl w:val="2AF8D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3499303">
    <w:abstractNumId w:val="19"/>
    <w:lvlOverride w:ilvl="0"/>
    <w:lvlOverride w:ilvl="1"/>
    <w:lvlOverride w:ilvl="2"/>
    <w:lvlOverride w:ilvl="3"/>
    <w:lvlOverride w:ilvl="4"/>
    <w:lvlOverride w:ilvl="5"/>
    <w:lvlOverride w:ilvl="6"/>
    <w:lvlOverride w:ilvl="7"/>
    <w:lvlOverride w:ilvl="8"/>
  </w:num>
  <w:num w:numId="2" w16cid:durableId="801536618">
    <w:abstractNumId w:val="12"/>
    <w:lvlOverride w:ilvl="0"/>
    <w:lvlOverride w:ilvl="1"/>
    <w:lvlOverride w:ilvl="2"/>
    <w:lvlOverride w:ilvl="3"/>
    <w:lvlOverride w:ilvl="4"/>
    <w:lvlOverride w:ilvl="5"/>
    <w:lvlOverride w:ilvl="6"/>
    <w:lvlOverride w:ilvl="7"/>
    <w:lvlOverride w:ilvl="8"/>
  </w:num>
  <w:num w:numId="3" w16cid:durableId="898587353">
    <w:abstractNumId w:val="21"/>
    <w:lvlOverride w:ilvl="0"/>
    <w:lvlOverride w:ilvl="1"/>
    <w:lvlOverride w:ilvl="2"/>
    <w:lvlOverride w:ilvl="3"/>
    <w:lvlOverride w:ilvl="4"/>
    <w:lvlOverride w:ilvl="5"/>
    <w:lvlOverride w:ilvl="6"/>
    <w:lvlOverride w:ilvl="7"/>
    <w:lvlOverride w:ilvl="8"/>
  </w:num>
  <w:num w:numId="4" w16cid:durableId="283388770">
    <w:abstractNumId w:val="7"/>
    <w:lvlOverride w:ilvl="0"/>
    <w:lvlOverride w:ilvl="1"/>
    <w:lvlOverride w:ilvl="2"/>
    <w:lvlOverride w:ilvl="3"/>
    <w:lvlOverride w:ilvl="4"/>
    <w:lvlOverride w:ilvl="5"/>
    <w:lvlOverride w:ilvl="6"/>
    <w:lvlOverride w:ilvl="7"/>
    <w:lvlOverride w:ilvl="8"/>
  </w:num>
  <w:num w:numId="5" w16cid:durableId="702051519">
    <w:abstractNumId w:val="4"/>
    <w:lvlOverride w:ilvl="0"/>
    <w:lvlOverride w:ilvl="1"/>
    <w:lvlOverride w:ilvl="2"/>
    <w:lvlOverride w:ilvl="3"/>
    <w:lvlOverride w:ilvl="4"/>
    <w:lvlOverride w:ilvl="5"/>
    <w:lvlOverride w:ilvl="6"/>
    <w:lvlOverride w:ilvl="7"/>
    <w:lvlOverride w:ilvl="8"/>
  </w:num>
  <w:num w:numId="6" w16cid:durableId="886066952">
    <w:abstractNumId w:val="23"/>
    <w:lvlOverride w:ilvl="0"/>
    <w:lvlOverride w:ilvl="1"/>
    <w:lvlOverride w:ilvl="2"/>
    <w:lvlOverride w:ilvl="3"/>
    <w:lvlOverride w:ilvl="4"/>
    <w:lvlOverride w:ilvl="5"/>
    <w:lvlOverride w:ilvl="6"/>
    <w:lvlOverride w:ilvl="7"/>
    <w:lvlOverride w:ilvl="8"/>
  </w:num>
  <w:num w:numId="7" w16cid:durableId="924267340">
    <w:abstractNumId w:val="15"/>
    <w:lvlOverride w:ilvl="0"/>
    <w:lvlOverride w:ilvl="1"/>
    <w:lvlOverride w:ilvl="2"/>
    <w:lvlOverride w:ilvl="3"/>
    <w:lvlOverride w:ilvl="4"/>
    <w:lvlOverride w:ilvl="5"/>
    <w:lvlOverride w:ilvl="6"/>
    <w:lvlOverride w:ilvl="7"/>
    <w:lvlOverride w:ilvl="8"/>
  </w:num>
  <w:num w:numId="8" w16cid:durableId="277221483">
    <w:abstractNumId w:val="22"/>
    <w:lvlOverride w:ilvl="0"/>
    <w:lvlOverride w:ilvl="1"/>
    <w:lvlOverride w:ilvl="2"/>
    <w:lvlOverride w:ilvl="3"/>
    <w:lvlOverride w:ilvl="4"/>
    <w:lvlOverride w:ilvl="5"/>
    <w:lvlOverride w:ilvl="6"/>
    <w:lvlOverride w:ilvl="7"/>
    <w:lvlOverride w:ilvl="8"/>
  </w:num>
  <w:num w:numId="9" w16cid:durableId="1737320241">
    <w:abstractNumId w:val="17"/>
    <w:lvlOverride w:ilvl="0"/>
    <w:lvlOverride w:ilvl="1"/>
    <w:lvlOverride w:ilvl="2"/>
    <w:lvlOverride w:ilvl="3"/>
    <w:lvlOverride w:ilvl="4"/>
    <w:lvlOverride w:ilvl="5"/>
    <w:lvlOverride w:ilvl="6"/>
    <w:lvlOverride w:ilvl="7"/>
    <w:lvlOverride w:ilvl="8"/>
  </w:num>
  <w:num w:numId="10" w16cid:durableId="331220319">
    <w:abstractNumId w:val="20"/>
    <w:lvlOverride w:ilvl="0"/>
    <w:lvlOverride w:ilvl="1"/>
    <w:lvlOverride w:ilvl="2"/>
    <w:lvlOverride w:ilvl="3"/>
    <w:lvlOverride w:ilvl="4"/>
    <w:lvlOverride w:ilvl="5"/>
    <w:lvlOverride w:ilvl="6"/>
    <w:lvlOverride w:ilvl="7"/>
    <w:lvlOverride w:ilvl="8"/>
  </w:num>
  <w:num w:numId="11" w16cid:durableId="1411853916">
    <w:abstractNumId w:val="9"/>
    <w:lvlOverride w:ilvl="0"/>
    <w:lvlOverride w:ilvl="1"/>
    <w:lvlOverride w:ilvl="2"/>
    <w:lvlOverride w:ilvl="3"/>
    <w:lvlOverride w:ilvl="4"/>
    <w:lvlOverride w:ilvl="5"/>
    <w:lvlOverride w:ilvl="6"/>
    <w:lvlOverride w:ilvl="7"/>
    <w:lvlOverride w:ilvl="8"/>
  </w:num>
  <w:num w:numId="12" w16cid:durableId="1519153523">
    <w:abstractNumId w:val="0"/>
    <w:lvlOverride w:ilvl="0"/>
    <w:lvlOverride w:ilvl="1"/>
    <w:lvlOverride w:ilvl="2"/>
    <w:lvlOverride w:ilvl="3"/>
    <w:lvlOverride w:ilvl="4"/>
    <w:lvlOverride w:ilvl="5"/>
    <w:lvlOverride w:ilvl="6"/>
    <w:lvlOverride w:ilvl="7"/>
    <w:lvlOverride w:ilvl="8"/>
  </w:num>
  <w:num w:numId="13" w16cid:durableId="180777019">
    <w:abstractNumId w:val="10"/>
    <w:lvlOverride w:ilvl="0"/>
    <w:lvlOverride w:ilvl="1"/>
    <w:lvlOverride w:ilvl="2"/>
    <w:lvlOverride w:ilvl="3"/>
    <w:lvlOverride w:ilvl="4"/>
    <w:lvlOverride w:ilvl="5"/>
    <w:lvlOverride w:ilvl="6"/>
    <w:lvlOverride w:ilvl="7"/>
    <w:lvlOverride w:ilvl="8"/>
  </w:num>
  <w:num w:numId="14" w16cid:durableId="1244871270">
    <w:abstractNumId w:val="16"/>
    <w:lvlOverride w:ilvl="0"/>
    <w:lvlOverride w:ilvl="1"/>
    <w:lvlOverride w:ilvl="2"/>
    <w:lvlOverride w:ilvl="3"/>
    <w:lvlOverride w:ilvl="4"/>
    <w:lvlOverride w:ilvl="5"/>
    <w:lvlOverride w:ilvl="6"/>
    <w:lvlOverride w:ilvl="7"/>
    <w:lvlOverride w:ilvl="8"/>
  </w:num>
  <w:num w:numId="15" w16cid:durableId="1170215010">
    <w:abstractNumId w:val="5"/>
    <w:lvlOverride w:ilvl="0"/>
    <w:lvlOverride w:ilvl="1"/>
    <w:lvlOverride w:ilvl="2"/>
    <w:lvlOverride w:ilvl="3"/>
    <w:lvlOverride w:ilvl="4"/>
    <w:lvlOverride w:ilvl="5"/>
    <w:lvlOverride w:ilvl="6"/>
    <w:lvlOverride w:ilvl="7"/>
    <w:lvlOverride w:ilvl="8"/>
  </w:num>
  <w:num w:numId="16" w16cid:durableId="526909676">
    <w:abstractNumId w:val="3"/>
    <w:lvlOverride w:ilvl="0"/>
    <w:lvlOverride w:ilvl="1"/>
    <w:lvlOverride w:ilvl="2"/>
    <w:lvlOverride w:ilvl="3"/>
    <w:lvlOverride w:ilvl="4"/>
    <w:lvlOverride w:ilvl="5"/>
    <w:lvlOverride w:ilvl="6"/>
    <w:lvlOverride w:ilvl="7"/>
    <w:lvlOverride w:ilvl="8"/>
  </w:num>
  <w:num w:numId="17" w16cid:durableId="2145809478">
    <w:abstractNumId w:val="8"/>
    <w:lvlOverride w:ilvl="0"/>
    <w:lvlOverride w:ilvl="1"/>
    <w:lvlOverride w:ilvl="2"/>
    <w:lvlOverride w:ilvl="3"/>
    <w:lvlOverride w:ilvl="4"/>
    <w:lvlOverride w:ilvl="5"/>
    <w:lvlOverride w:ilvl="6"/>
    <w:lvlOverride w:ilvl="7"/>
    <w:lvlOverride w:ilvl="8"/>
  </w:num>
  <w:num w:numId="18" w16cid:durableId="1741905462">
    <w:abstractNumId w:val="18"/>
    <w:lvlOverride w:ilvl="0"/>
    <w:lvlOverride w:ilvl="1"/>
    <w:lvlOverride w:ilvl="2"/>
    <w:lvlOverride w:ilvl="3"/>
    <w:lvlOverride w:ilvl="4"/>
    <w:lvlOverride w:ilvl="5"/>
    <w:lvlOverride w:ilvl="6"/>
    <w:lvlOverride w:ilvl="7"/>
    <w:lvlOverride w:ilvl="8"/>
  </w:num>
  <w:num w:numId="19" w16cid:durableId="928848483">
    <w:abstractNumId w:val="11"/>
    <w:lvlOverride w:ilvl="0"/>
    <w:lvlOverride w:ilvl="1"/>
    <w:lvlOverride w:ilvl="2"/>
    <w:lvlOverride w:ilvl="3"/>
    <w:lvlOverride w:ilvl="4"/>
    <w:lvlOverride w:ilvl="5"/>
    <w:lvlOverride w:ilvl="6"/>
    <w:lvlOverride w:ilvl="7"/>
    <w:lvlOverride w:ilvl="8"/>
  </w:num>
  <w:num w:numId="20" w16cid:durableId="1466579694">
    <w:abstractNumId w:val="13"/>
    <w:lvlOverride w:ilvl="0"/>
    <w:lvlOverride w:ilvl="1"/>
    <w:lvlOverride w:ilvl="2"/>
    <w:lvlOverride w:ilvl="3"/>
    <w:lvlOverride w:ilvl="4"/>
    <w:lvlOverride w:ilvl="5"/>
    <w:lvlOverride w:ilvl="6"/>
    <w:lvlOverride w:ilvl="7"/>
    <w:lvlOverride w:ilvl="8"/>
  </w:num>
  <w:num w:numId="21" w16cid:durableId="2026053279">
    <w:abstractNumId w:val="1"/>
    <w:lvlOverride w:ilvl="0"/>
    <w:lvlOverride w:ilvl="1"/>
    <w:lvlOverride w:ilvl="2"/>
    <w:lvlOverride w:ilvl="3"/>
    <w:lvlOverride w:ilvl="4"/>
    <w:lvlOverride w:ilvl="5"/>
    <w:lvlOverride w:ilvl="6"/>
    <w:lvlOverride w:ilvl="7"/>
    <w:lvlOverride w:ilvl="8"/>
  </w:num>
  <w:num w:numId="22" w16cid:durableId="980815049">
    <w:abstractNumId w:val="14"/>
    <w:lvlOverride w:ilvl="0"/>
    <w:lvlOverride w:ilvl="1"/>
    <w:lvlOverride w:ilvl="2"/>
    <w:lvlOverride w:ilvl="3"/>
    <w:lvlOverride w:ilvl="4"/>
    <w:lvlOverride w:ilvl="5"/>
    <w:lvlOverride w:ilvl="6"/>
    <w:lvlOverride w:ilvl="7"/>
    <w:lvlOverride w:ilvl="8"/>
  </w:num>
  <w:num w:numId="23" w16cid:durableId="541863980">
    <w:abstractNumId w:val="2"/>
    <w:lvlOverride w:ilvl="0"/>
    <w:lvlOverride w:ilvl="1"/>
    <w:lvlOverride w:ilvl="2"/>
    <w:lvlOverride w:ilvl="3"/>
    <w:lvlOverride w:ilvl="4"/>
    <w:lvlOverride w:ilvl="5"/>
    <w:lvlOverride w:ilvl="6"/>
    <w:lvlOverride w:ilvl="7"/>
    <w:lvlOverride w:ilvl="8"/>
  </w:num>
  <w:num w:numId="24" w16cid:durableId="56815690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65"/>
    <w:rsid w:val="00853621"/>
    <w:rsid w:val="0088228F"/>
    <w:rsid w:val="00AF3865"/>
    <w:rsid w:val="00C31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2F7D"/>
  <w15:chartTrackingRefBased/>
  <w15:docId w15:val="{2DA91202-72D9-4DD9-B5AA-94359E97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865"/>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AF3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8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8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8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8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865"/>
    <w:rPr>
      <w:rFonts w:eastAsiaTheme="majorEastAsia" w:cstheme="majorBidi"/>
      <w:color w:val="272727" w:themeColor="text1" w:themeTint="D8"/>
    </w:rPr>
  </w:style>
  <w:style w:type="paragraph" w:styleId="Title">
    <w:name w:val="Title"/>
    <w:basedOn w:val="Normal"/>
    <w:next w:val="Normal"/>
    <w:link w:val="TitleChar"/>
    <w:uiPriority w:val="10"/>
    <w:qFormat/>
    <w:rsid w:val="00AF38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865"/>
    <w:pPr>
      <w:spacing w:before="160"/>
      <w:jc w:val="center"/>
    </w:pPr>
    <w:rPr>
      <w:i/>
      <w:iCs/>
      <w:color w:val="404040" w:themeColor="text1" w:themeTint="BF"/>
    </w:rPr>
  </w:style>
  <w:style w:type="character" w:customStyle="1" w:styleId="QuoteChar">
    <w:name w:val="Quote Char"/>
    <w:basedOn w:val="DefaultParagraphFont"/>
    <w:link w:val="Quote"/>
    <w:uiPriority w:val="29"/>
    <w:rsid w:val="00AF3865"/>
    <w:rPr>
      <w:i/>
      <w:iCs/>
      <w:color w:val="404040" w:themeColor="text1" w:themeTint="BF"/>
    </w:rPr>
  </w:style>
  <w:style w:type="paragraph" w:styleId="ListParagraph">
    <w:name w:val="List Paragraph"/>
    <w:basedOn w:val="Normal"/>
    <w:uiPriority w:val="34"/>
    <w:qFormat/>
    <w:rsid w:val="00AF3865"/>
    <w:pPr>
      <w:ind w:left="720"/>
      <w:contextualSpacing/>
    </w:pPr>
  </w:style>
  <w:style w:type="character" w:styleId="IntenseEmphasis">
    <w:name w:val="Intense Emphasis"/>
    <w:basedOn w:val="DefaultParagraphFont"/>
    <w:uiPriority w:val="21"/>
    <w:qFormat/>
    <w:rsid w:val="00AF3865"/>
    <w:rPr>
      <w:i/>
      <w:iCs/>
      <w:color w:val="0F4761" w:themeColor="accent1" w:themeShade="BF"/>
    </w:rPr>
  </w:style>
  <w:style w:type="paragraph" w:styleId="IntenseQuote">
    <w:name w:val="Intense Quote"/>
    <w:basedOn w:val="Normal"/>
    <w:next w:val="Normal"/>
    <w:link w:val="IntenseQuoteChar"/>
    <w:uiPriority w:val="30"/>
    <w:qFormat/>
    <w:rsid w:val="00AF3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865"/>
    <w:rPr>
      <w:i/>
      <w:iCs/>
      <w:color w:val="0F4761" w:themeColor="accent1" w:themeShade="BF"/>
    </w:rPr>
  </w:style>
  <w:style w:type="character" w:styleId="IntenseReference">
    <w:name w:val="Intense Reference"/>
    <w:basedOn w:val="DefaultParagraphFont"/>
    <w:uiPriority w:val="32"/>
    <w:qFormat/>
    <w:rsid w:val="00AF3865"/>
    <w:rPr>
      <w:b/>
      <w:bCs/>
      <w:smallCaps/>
      <w:color w:val="0F4761" w:themeColor="accent1" w:themeShade="BF"/>
      <w:spacing w:val="5"/>
    </w:rPr>
  </w:style>
  <w:style w:type="character" w:styleId="Hyperlink">
    <w:name w:val="Hyperlink"/>
    <w:basedOn w:val="DefaultParagraphFont"/>
    <w:uiPriority w:val="99"/>
    <w:semiHidden/>
    <w:unhideWhenUsed/>
    <w:rsid w:val="00AF3865"/>
    <w:rPr>
      <w:color w:val="0000FF"/>
      <w:u w:val="single"/>
    </w:rPr>
  </w:style>
  <w:style w:type="paragraph" w:styleId="NormalWeb">
    <w:name w:val="Normal (Web)"/>
    <w:basedOn w:val="Normal"/>
    <w:uiPriority w:val="99"/>
    <w:semiHidden/>
    <w:unhideWhenUsed/>
    <w:rsid w:val="00AF3865"/>
    <w:pPr>
      <w:suppressAutoHyphens/>
      <w:spacing w:before="100" w:beforeAutospacing="1" w:after="100" w:afterAutospacing="1"/>
    </w:pPr>
  </w:style>
  <w:style w:type="character" w:customStyle="1" w:styleId="normaltextrun">
    <w:name w:val="normaltextrun"/>
    <w:basedOn w:val="DefaultParagraphFont"/>
    <w:rsid w:val="00AF3865"/>
  </w:style>
  <w:style w:type="character" w:customStyle="1" w:styleId="eop">
    <w:name w:val="eop"/>
    <w:basedOn w:val="DefaultParagraphFont"/>
    <w:rsid w:val="00AF3865"/>
  </w:style>
  <w:style w:type="character" w:styleId="Strong">
    <w:name w:val="Strong"/>
    <w:basedOn w:val="DefaultParagraphFont"/>
    <w:uiPriority w:val="22"/>
    <w:qFormat/>
    <w:rsid w:val="00AF3865"/>
    <w:rPr>
      <w:b/>
      <w:bCs/>
    </w:rPr>
  </w:style>
  <w:style w:type="character" w:styleId="Emphasis">
    <w:name w:val="Emphasis"/>
    <w:basedOn w:val="DefaultParagraphFont"/>
    <w:uiPriority w:val="20"/>
    <w:qFormat/>
    <w:rsid w:val="00AF38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2.govdelivery.com/CL0/https:%2F%2Fwww.nhsbsa.nhs.uk%2Fpharmacies-gp-practices-and-appliance-contractors%2Fserious-shortage-protocols-ssps%3Futm_medium=email%26utm_name=%26utm_source=govdelivery/1/0101019edf01a773-2fe3735f-6669-4aab-a5af-11da6f7375b8-000000/trvrYZHhnVO1dX2ozyg6ANTuUZCBZG9JN7aHwzDO0dU=452" TargetMode="External"/><Relationship Id="rId18" Type="http://schemas.openxmlformats.org/officeDocument/2006/relationships/hyperlink" Target="https://links-2.govdelivery.com/CL0/https:%2F%2Fopenprescribing.net%2Fsicbl%2F14Y%2Fmeasures%2F%3Futm_medium=email%26utm_name=%26utm_source=govdelivery/1/0101019edf01a773-2fe3735f-6669-4aab-a5af-11da6f7375b8-000000/PhwP2amV04i-bdO1vwMNg__8HlpXQCnkdjebVaRptWE=452" TargetMode="External"/><Relationship Id="rId26" Type="http://schemas.openxmlformats.org/officeDocument/2006/relationships/image" Target="media/image4.jpeg"/><Relationship Id="rId39" Type="http://schemas.openxmlformats.org/officeDocument/2006/relationships/hyperlink" Target="mailto:frimleyicb.prescribing@nhs.net" TargetMode="External"/><Relationship Id="rId21" Type="http://schemas.openxmlformats.org/officeDocument/2006/relationships/hyperlink" Target="https://links-2.govdelivery.com/CL0/https:%2F%2Fopenprescribing.net%2Fmeasure%2Fmorphine_solution_high_quantity%2Fsicbl%2FU2G6B%2F%3Futm_medium=email%26utm_name=%26utm_source=govdelivery/1/0101019edf01a773-2fe3735f-6669-4aab-a5af-11da6f7375b8-000000/rFv1a7sjV5K40N0bltVkoxw-PrlttMKpE74e3NsRkVo=452" TargetMode="External"/><Relationship Id="rId34" Type="http://schemas.openxmlformats.org/officeDocument/2006/relationships/hyperlink" Target="https://links-2.govdelivery.com/CL0/https:%2F%2Fwww.thamesvalleyformulary.nhs.uk%2Fdocs%2Flauncher.asp%3FdocID=135%26utm_medium=email%26utm_name=%26utm_source=govdelivery/1/0101019edf01a773-2fe3735f-6669-4aab-a5af-11da6f7375b8-000000/73Sbo6hTni7_pExT8zZFOO3WR2JrCbMan3_SqX7I_Gk=452" TargetMode="External"/><Relationship Id="rId42" Type="http://schemas.openxmlformats.org/officeDocument/2006/relationships/hyperlink" Target="https://links-2.govdelivery.com/CL0/https:%2F%2Fwww.sps.nhs.uk%2Fregister%3Futm_medium=email%26utm_name=%26utm_source=govdelivery/1/0101019edf01a773-2fe3735f-6669-4aab-a5af-11da6f7375b8-000000/rhOMuYiUAbnVR5exrupJBpPzTAf_tbV-QIY40kG-muM=452" TargetMode="External"/><Relationship Id="rId47" Type="http://schemas.openxmlformats.org/officeDocument/2006/relationships/hyperlink" Target="mailto:england.southeastcdao@nhs.net" TargetMode="External"/><Relationship Id="rId50" Type="http://schemas.openxmlformats.org/officeDocument/2006/relationships/hyperlink" Target="mailto:frimleyicb.prescribing@nhs.net" TargetMode="External"/><Relationship Id="rId55" Type="http://schemas.openxmlformats.org/officeDocument/2006/relationships/theme" Target="theme/theme1.xml"/><Relationship Id="rId7" Type="http://schemas.openxmlformats.org/officeDocument/2006/relationships/hyperlink" Target="mailto:frimleyicb.prescribing@nhs.net" TargetMode="External"/><Relationship Id="rId2" Type="http://schemas.openxmlformats.org/officeDocument/2006/relationships/styles" Target="styles.xml"/><Relationship Id="rId16" Type="http://schemas.openxmlformats.org/officeDocument/2006/relationships/hyperlink" Target="https://links-2.govdelivery.com/CL0/https:%2F%2Fwww.hssib.org.uk%2Fpatient-safety-investigations%2Funintentional-overdose-of-morphine-sulfate-oral-solution%2Finvestigation-report%2F%3Futm_medium=email%26utm_name=%26utm_source=govdelivery/1/0101019edf01a773-2fe3735f-6669-4aab-a5af-11da6f7375b8-000000/BKqpvwQlNh1WThTMpeEKlqCxnAzID02M5STulrDNZIg=452" TargetMode="External"/><Relationship Id="rId29" Type="http://schemas.openxmlformats.org/officeDocument/2006/relationships/hyperlink" Target="https://links-2.govdelivery.com/CL0/https:%2F%2Fwww.thamesvalleyformulary.nhs.uk%2Fdocs%2Flauncher.asp%3FdocID=491%26utm_medium=email%26utm_name=%26utm_source=govdelivery/1/0101019edf01a773-2fe3735f-6669-4aab-a5af-11da6f7375b8-000000/mJBWHN51jjsYc1KlXHxvVVyWsOM8MFNNjBS3Yj1nbfY=452" TargetMode="External"/><Relationship Id="rId11" Type="http://schemas.openxmlformats.org/officeDocument/2006/relationships/hyperlink" Target="https://links-2.govdelivery.com/CL0/https:%2F%2Fwww.gov.uk%2Fdrug-device-alerts%2Fclass-2-medicines-recall-crescent-pharma-limited-ramipril-2-dot-5-mg-capsules-el-26-a-slash-25%3Futm_medium=email%26utm_name=%26utm_source=govdelivery/1/0101019edf01a773-2fe3735f-6669-4aab-a5af-11da6f7375b8-000000/tKX2Y5wYcKCIcez7zoRTKOZwHo_wuET0ODY3ve0QaKc=452" TargetMode="External"/><Relationship Id="rId24" Type="http://schemas.openxmlformats.org/officeDocument/2006/relationships/hyperlink" Target="https://links-2.govdelivery.com/CL0/https:%2F%2Fopenprescribing.net%2Fmeasure%2Fmorphine_solution_high_quantity%2Fsicbl%2FU2G6B%2F%3Futm_medium=email%26utm_name=%26utm_source=govdelivery/2/0101019edf01a773-2fe3735f-6669-4aab-a5af-11da6f7375b8-000000/b432zIsMXg4448UTthG1CSXE4NzyuuhO-ZJ2nhAB-so=452" TargetMode="External"/><Relationship Id="rId32" Type="http://schemas.openxmlformats.org/officeDocument/2006/relationships/hyperlink" Target="https://links-2.govdelivery.com/CL0/https:%2F%2Fwww.thamesvalleyformulary.nhs.uk%2Fdocs%2Flauncher.asp%3FdocID=357%26utm_medium=email%26utm_name=%26utm_source=govdelivery/1/0101019edf01a773-2fe3735f-6669-4aab-a5af-11da6f7375b8-000000/SX0CEQKfLywAENq1H9ondIasQar7Pz6lJgyRQEQyE9o=452" TargetMode="External"/><Relationship Id="rId37" Type="http://schemas.openxmlformats.org/officeDocument/2006/relationships/hyperlink" Target="https://links-2.govdelivery.com/CL0/https:%2F%2Fwww.frimley.icb.nhs.uk%2Fpolicies-and-documents%2Fmedicines-optimisation%2Fprescribing-guidelines-1%2Fnutrition-and-blood%2Fadult-malnutrition%2F1155-oral-nutritional-supplement-ons-formulary-for-adults%2Ffile%3Futm_medium=email%26utm_name=%26utm_source=govdelivery/1/0101019edf01a773-2fe3735f-6669-4aab-a5af-11da6f7375b8-000000/PivkEeStTOZX4zp8uTs7TBo1flJFiKQOnW5lIrirmNI=452" TargetMode="External"/><Relationship Id="rId40" Type="http://schemas.openxmlformats.org/officeDocument/2006/relationships/hyperlink" Target="mailto:bobicb.medicines@nhs.net" TargetMode="External"/><Relationship Id="rId45" Type="http://schemas.openxmlformats.org/officeDocument/2006/relationships/hyperlink" Target="mailto:nhsbsa.prescriptionservices@nhsbsa.nhs.uk" TargetMode="External"/><Relationship Id="rId53" Type="http://schemas.openxmlformats.org/officeDocument/2006/relationships/hyperlink" Target="mailto:frimleyicb.prescribing@nhs.net" TargetMode="External"/><Relationship Id="rId5" Type="http://schemas.openxmlformats.org/officeDocument/2006/relationships/image" Target="media/image1.png"/><Relationship Id="rId10" Type="http://schemas.openxmlformats.org/officeDocument/2006/relationships/image" Target="https://content.govdelivery.com/attachments/fancy_images/UKBOBICS/2023/02/7104512/lo_original.jpg" TargetMode="External"/><Relationship Id="rId19" Type="http://schemas.openxmlformats.org/officeDocument/2006/relationships/hyperlink" Target="https://links-2.govdelivery.com/CL0/https:%2F%2Fopenprescribing.net%2Fsicbl%2F15A%2Fmeasures%2F%3Ftags=opioids%26utm_medium=email%26utm_name=%26utm_source=govdelivery/1/0101019edf01a773-2fe3735f-6669-4aab-a5af-11da6f7375b8-000000/PInetSJ1FiDdG3NS2TPfRjFLW4AzkpurYoeDIbdJupQ=452" TargetMode="External"/><Relationship Id="rId31" Type="http://schemas.openxmlformats.org/officeDocument/2006/relationships/hyperlink" Target="https://links-2.govdelivery.com/CL0/https:%2F%2Fwww.bucksoxonberksw.icb.nhs.uk%2Fmedia%2F6830%2Fbob-icb-methotrexate-paediatric-shared-care-protocol.pdf%3Futm_medium=email%26utm_name=%26utm_source=govdelivery/1/0101019edf01a773-2fe3735f-6669-4aab-a5af-11da6f7375b8-000000/_fYg8BIVaeijRrmOtqyeO3XeoLSPHyQDBkLpkcEQXSI=452" TargetMode="External"/><Relationship Id="rId44" Type="http://schemas.openxmlformats.org/officeDocument/2006/relationships/hyperlink" Target="https://links-2.govdelivery.com/CL0/https:%2F%2Fwww.nhsbsa.nhs.uk%2Fpharmacies-gp-practices-and-appliance-contractors%2Fserious-shortage-protocols-ssps%3Futm_medium=email%26utm_name=%26utm_source=govdelivery/3/0101019edf01a773-2fe3735f-6669-4aab-a5af-11da6f7375b8-000000/TfEVyPzfShTfmv4vfnhAWhjCFtFpoNLwXY5U7gSbvNk=452" TargetMode="External"/><Relationship Id="rId52" Type="http://schemas.openxmlformats.org/officeDocument/2006/relationships/hyperlink" Target="mailto:bobicb.medicines@nhs.ne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links-2.govdelivery.com/CL0/https:%2F%2Fwww.nhsbsa.nhs.uk%2Fpharmacies-gp-practices-and-appliance-contractors%2Fserious-shortage-protocols-ssps%3Futm_medium=email%26utm_name=%26utm_source=govdelivery/2/0101019edf01a773-2fe3735f-6669-4aab-a5af-11da6f7375b8-000000/-ad1wTWds8hEaF4UvNSPE5_bjDdkMmYYBoo6ez5OrXA=452" TargetMode="External"/><Relationship Id="rId22" Type="http://schemas.openxmlformats.org/officeDocument/2006/relationships/image" Target="media/image3.jpeg"/><Relationship Id="rId27" Type="http://schemas.openxmlformats.org/officeDocument/2006/relationships/image" Target="https://content.govdelivery.com/attachments/fancy_images/UKBOBICS/2026/06/13869782/screenshot-2026-06-15-124120_original.jpg" TargetMode="External"/><Relationship Id="rId30" Type="http://schemas.openxmlformats.org/officeDocument/2006/relationships/hyperlink" Target="https://links-2.govdelivery.com/CL0/https:%2F%2Fwww.thamesvalleyformulary.nhs.uk%2Fdocs%2Ffiles%2FBOB%2520ICB%2520Methotrexate%2520Adult%2520Shared%2520Care%2520Protocol.pdf%3FUNLID=2823827662026617153218%26utm_medium=email%26utm_name=%26utm_source=govdelivery/1/0101019edf01a773-2fe3735f-6669-4aab-a5af-11da6f7375b8-000000/LOeya1zLPWvXuP9bTb2gKdtPGhPTdLMPmq9kdMR82Ms=452" TargetMode="External"/><Relationship Id="rId35" Type="http://schemas.openxmlformats.org/officeDocument/2006/relationships/hyperlink" Target="https://links-2.govdelivery.com/CL0/https:%2F%2Fwww.frimley.icb.nhs.uk%2Fpolicies-and-documents%2Fmedicines-optimisation%2Fprescribing-policies%2F1969-017-mog-position-statement-methotrexate-10mg-tablets%2Ffile%3Futm_medium=email%26utm_name=%26utm_source=govdelivery/1/0101019edf01a773-2fe3735f-6669-4aab-a5af-11da6f7375b8-000000/QH9mtdAH2ugLeR_8ceKn6ftrSbNhSiyVoOLkMyCqhUY=452" TargetMode="External"/><Relationship Id="rId43" Type="http://schemas.openxmlformats.org/officeDocument/2006/relationships/hyperlink" Target="https://links-2.govdelivery.com/CL0/https:%2F%2Fwww.sps.nhs.uk%2Fwp-login.php%3Freauth=1%26redirect_to=https%253A%252F%252Fwww.sps.nhs.uk%252Fhome%252Ftools%252Fmedicines-supply-tool%252F%253Futm_medium%253Demail%2526utm_name%253D%2526utm_source%253Dgovdelivery%26utm_medium=email%26utm_name=%26utm_source=govdelivery/1/0101019edf01a773-2fe3735f-6669-4aab-a5af-11da6f7375b8-000000/H8XluoeP00dDnEF5UxD8HlrAU0lN5DP_6ipXKayr8jg=452" TargetMode="External"/><Relationship Id="rId48" Type="http://schemas.openxmlformats.org/officeDocument/2006/relationships/hyperlink" Target="https://links-2.govdelivery.com/CL0/https:%2F%2Fwww.nhsbsa.nhs.uk%2Fsicbls-icbs-and-other-providers%2Forganisation-and-prescriber-changes%2Fsub-icb-locations%3Futm_medium=email%26utm_name=%26utm_source=govdelivery/1/0101019edf01a773-2fe3735f-6669-4aab-a5af-11da6f7375b8-000000/ao97_SZ6oEgJ4bjZxQ6dQsckq44XBbrmcD_4USP2REQ=452" TargetMode="External"/><Relationship Id="rId8" Type="http://schemas.openxmlformats.org/officeDocument/2006/relationships/hyperlink" Target="mailto:bobicb.medicines@nhs.net" TargetMode="External"/><Relationship Id="rId51" Type="http://schemas.openxmlformats.org/officeDocument/2006/relationships/hyperlink" Target="https://links-2.govdelivery.com/CL0/https:%2F%2Fwww.nhsbsa.nhs.uk%2Fsicbls-icbs-and-other-providers%2Forganisation-and-prescriber-changes%2Fsub-icb-locations%3Futm_medium=email%26utm_name=%26utm_source=govdelivery/2/0101019edf01a773-2fe3735f-6669-4aab-a5af-11da6f7375b8-000000/mwURX-XoTesnH7KK7OT0qw5k9auC1oepKm059FhDiRc=452" TargetMode="External"/><Relationship Id="rId3" Type="http://schemas.openxmlformats.org/officeDocument/2006/relationships/settings" Target="settings.xml"/><Relationship Id="rId12" Type="http://schemas.openxmlformats.org/officeDocument/2006/relationships/hyperlink" Target="https://links-2.govdelivery.com/CL0/https:%2F%2Fnhs.sharepoint.com%2F:u:%2Fr%2Fsites%2F10Q_BOB_ICB_Site%2FClinical%2520Decision%2520Support%2FMedicine%2520Supply%2520Notification%25E2%2580%2599s%2FRamipril%25202.5mg%2520Caps%2520Emis%2520Search%2520for%2520Crescent%2520Pharma%2520recall.xml%3Fcsf=1%26e=Sc4mbK%26utm_medium=email%26utm_name=%26utm_source=govdelivery%26web=1/1/0101019edf01a773-2fe3735f-6669-4aab-a5af-11da6f7375b8-000000/eYzfk5MH-jBA61jA3yyBAjMou5Y1LlNRuo8lFGOnKOc=452" TargetMode="External"/><Relationship Id="rId17" Type="http://schemas.openxmlformats.org/officeDocument/2006/relationships/hyperlink" Target="https://links-2.govdelivery.com/CL0/https:%2F%2Fopenprescribing.net%2F%3Futm_medium=email%26utm_name=%26utm_source=govdelivery/1/0101019edf01a773-2fe3735f-6669-4aab-a5af-11da6f7375b8-000000/ukhqHg7mOy9fhxy9LBo3BCKKBgizWlJ9XVBzlyYAGeg=452" TargetMode="External"/><Relationship Id="rId25" Type="http://schemas.openxmlformats.org/officeDocument/2006/relationships/hyperlink" Target="https://links-2.govdelivery.com/CL0/https:%2F%2Fwww.thamesvalleyformulary.nhs.uk%2Fdocs%2Ffiles%2FBOB_ICB_HRT_Formulary_and_Treatment_Guidance.pdf%3FUNLID=7146023382026526105851%26utm_medium=email%26utm_name=%26utm_source=govdelivery/1/0101019edf01a773-2fe3735f-6669-4aab-a5af-11da6f7375b8-000000/oTqhZfJpjRbuy5Qg3k1HZDx_cyBe-KCFkMp3e-8t4lc=452" TargetMode="External"/><Relationship Id="rId33" Type="http://schemas.openxmlformats.org/officeDocument/2006/relationships/hyperlink" Target="https://links-2.govdelivery.com/CL0/https:%2F%2Fnhs.sharepoint.com%2Fsites%2Fmsteams_e0d72a%2FShared%2520Documents%2FForms%2FAllItems.aspx%3FCT=1781510640688%26OR=Teams-HL%26TeamsCID=a0ff26a1-8def-4315-8089-8a917832ee69%26clickparams=eyJBcHBOYW1lIjoiVGVhbXMtRGVza3RvcCIsIkFwcFZlcnNpb24iOiI0OS8yNjA1MTQxNjcxNSIsIkhhc0ZlZGVyYXRlZFVzZXIiOmZhbHNlfQ%253D%253D%26id=%252Fsites%252Fmsteams_e0d72a%252FShared%2BDocuments%252FTV%2BPrescribing%2BNewsletter%252FVol%2B1%2BIssue%2B2%2B-%2BWed%2B17th%2BJune%252726%26ovuser=37c354b2-85b0-47f5-b222-07b48d774ee3%252Cjanice.craig%2540nhs.net%26utm_medium=email%26utm_name=%26utm_source=govdelivery%26viewid=7ef427e2-fcc8-42e4-98d4-df1a0d6b3176/1/0101019edf01a773-2fe3735f-6669-4aab-a5af-11da6f7375b8-000000/AcBDwHAfzU4YfL3EByalcCirBtNX5Vozk5TyvbVqeOo=452" TargetMode="External"/><Relationship Id="rId38" Type="http://schemas.openxmlformats.org/officeDocument/2006/relationships/hyperlink" Target="https://links-2.govdelivery.com/CL0/https:%2F%2Fwww.bucksoxonberksw.icb.nhs.uk%2Fmedia%2F5023%2Fbob-icb-adult-oral-nutritional-supplement-formulary.pdf%3FUNLID=9422930712026427115220%26utm_medium=email%26utm_name=%26utm_source=govdelivery/1/0101019edf01a773-2fe3735f-6669-4aab-a5af-11da6f7375b8-000000/SoIRwTtwT3l19cerSNQseOVqYT6Z2rRqG6XKbqGWYyI=452" TargetMode="External"/><Relationship Id="rId46" Type="http://schemas.openxmlformats.org/officeDocument/2006/relationships/hyperlink" Target="https://links-2.govdelivery.com/CL0/http:%2F%2Fwww.cdreporting.co.uk%2Fnhs%3Futm_medium=email%26utm_name=%26utm_source=govdelivery/1/0101019edf01a773-2fe3735f-6669-4aab-a5af-11da6f7375b8-000000/0vXGiWWofueuM32SMMxuR23jbhbfHAHJl0fXUTkCYc0=452" TargetMode="External"/><Relationship Id="rId20" Type="http://schemas.openxmlformats.org/officeDocument/2006/relationships/hyperlink" Target="https://links-2.govdelivery.com/CL0/https:%2F%2Fopenprescribing.net%2Fmeasure%2Fmorphine_solution_high_quantity%2Fsicbl%2F10Q%2F%3Futm_medium=email%26utm_name=%26utm_source=govdelivery/1/0101019edf01a773-2fe3735f-6669-4aab-a5af-11da6f7375b8-000000/IH5c0j2j-Um1PgP8wICmgf0C1a5500QnClvG6RHzFFE=452" TargetMode="External"/><Relationship Id="rId41" Type="http://schemas.openxmlformats.org/officeDocument/2006/relationships/hyperlink" Target="https://links-2.govdelivery.com/CL0/https:%2F%2Fevents.teams.microsoft.com%2Fevent%2Fa1ae66ed-deed-4486-8fd8-430aff373055@37c354b2-85b0-47f5-b222-07b48d774ee3%3Futm_medium=email%26utm_name=%26utm_source=govdelivery/1/0101019edf01a773-2fe3735f-6669-4aab-a5af-11da6f7375b8-000000/aNoejNzQTyI-lxveAmxoerYxSnS1PRsYaWR5bNsExmc=45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s://content.govdelivery.com/attachments/fancy_images/UKBOBICS/2026/04/13598012/tvicb-logo_original.png" TargetMode="External"/><Relationship Id="rId15" Type="http://schemas.openxmlformats.org/officeDocument/2006/relationships/hyperlink" Target="https://links-2.govdelivery.com/CL0/https:%2F%2Fwww.tiaa.co.uk%2Fblog%2Fmisuse-of-fp10-prescriptions-mounjaro-and-weight-loss-medications%2F%3Futm_medium=email%26utm_name=%26utm_source=govdelivery/1/0101019edf01a773-2fe3735f-6669-4aab-a5af-11da6f7375b8-000000/W_zITgzc5iIAhLLaExbGiVwgs7w2aDhnhAZQ7Ef9Gtc=452" TargetMode="External"/><Relationship Id="rId23" Type="http://schemas.openxmlformats.org/officeDocument/2006/relationships/image" Target="https://content.govdelivery.com/attachments/fancy_images/UKBOBICS/2026/06/13869780/6956103/screenshot-2026-06-15-150314-graph_crop.jpg" TargetMode="External"/><Relationship Id="rId28" Type="http://schemas.openxmlformats.org/officeDocument/2006/relationships/hyperlink" Target="https://links-2.govdelivery.com/CL0/https:%2F%2Fwww.thamesvalleyformulary.nhs.uk%2Fdocs%2Ffiles%2FBOB_ICB_HRT_Formulary_and_Treatment_Guidance.pdf%3FUNLID=7146023382026526105851%26utm_medium=email%26utm_name=%26utm_source=govdelivery/2/0101019edf01a773-2fe3735f-6669-4aab-a5af-11da6f7375b8-000000/K9ZYLimSth54rR966xjo4X_0gLnimH4a5lJDe-bIHxM=452" TargetMode="External"/><Relationship Id="rId36" Type="http://schemas.openxmlformats.org/officeDocument/2006/relationships/hyperlink" Target="https://links-2.govdelivery.com/CL0/https:%2F%2Fwww.thamesvalleyformulary.nhs.uk%2Fdocs%2Flauncher.asp%3FdocID=134%26utm_medium=email%26utm_name=%26utm_source=govdelivery/1/0101019edf01a773-2fe3735f-6669-4aab-a5af-11da6f7375b8-000000/jSbk1cjohzrf_H2f97MEmfLvU0Go2Bdta7MJfSUBj_Y=452" TargetMode="External"/><Relationship Id="rId49" Type="http://schemas.openxmlformats.org/officeDocument/2006/relationships/hyperlink" Target="mailto:bobicb.medicine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4368</Words>
  <Characters>24898</Characters>
  <Application>Microsoft Office Word</Application>
  <DocSecurity>0</DocSecurity>
  <Lines>207</Lines>
  <Paragraphs>58</Paragraphs>
  <ScaleCrop>false</ScaleCrop>
  <Company/>
  <LinksUpToDate>false</LinksUpToDate>
  <CharactersWithSpaces>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Girling</dc:creator>
  <cp:keywords/>
  <dc:description/>
  <cp:lastModifiedBy>Lorna Girling</cp:lastModifiedBy>
  <cp:revision>1</cp:revision>
  <dcterms:created xsi:type="dcterms:W3CDTF">2026-06-22T08:43:00Z</dcterms:created>
  <dcterms:modified xsi:type="dcterms:W3CDTF">2026-06-22T08:44:00Z</dcterms:modified>
</cp:coreProperties>
</file>